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RR.2020.153 vom 28. September 2020</w:t>
      </w:r>
    </w:p>
    <w:p>
      <w:r>
        <w:t>Bundesstrafgericht, 2020-09-28, FR</w:t>
      </w:r>
    </w:p>
    <w:p>
      <w:r>
        <w:rPr>
          <w:b/>
        </w:rPr>
        <w:t xml:space="preserve">Quelle: </w:t>
      </w:r>
      <w:r>
        <w:t>https://mcp.opencaselaw.ch/entscheid/bstger_RR.2020.153</w:t>
      </w:r>
    </w:p>
    <w:p>
      <w:r>
        <w:t>FR: TPF RR.2020.153 du 28 septembre 2020</w:t>
      </w:r>
    </w:p>
    <w:p>
      <w:r>
        <w:t>IT: TPF RR.2020.153 del 28 settembre 2020</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Pour le surplus, l’EIMP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w:t>
      </w:r>
    </w:p>
    <w:p>
      <w:r>
        <w:t>- 6 -</w:t>
      </w:r>
    </w:p>
    <w:p>
      <w:r>
        <w:t>clôture de la procédure d’entraide et, conjointement, les décisions incidentes (art. 80e al. 1 et 25 al. 1 EIMP, et 37 al. 2 let. a ch. 1 de la loi fédérale sur l’organisation des autorités pénales de la Confédération [LOAP; RS 173.71]).</w:t>
      </w:r>
    </w:p>
    <w:p>
      <w:r>
        <w:rPr>
          <w:b/>
        </w:rPr>
        <w:t>E. 1.3</w:t>
      </w:r>
    </w:p>
    <w:p>
      <w:r>
        <w:t>Formé dans les 30 jours à compter de la notification des décisions de clôture, le recours a été déposé en temps utile (art. 80k EIMP).</w:t>
      </w:r>
    </w:p>
    <w:p>
      <w:r>
        <w:rPr>
          <w:b/>
        </w:rPr>
        <w:t>E. 1.4</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(v. ATF 137 IV 134 consid. 5; 118 Ib 547 consid. 1d). A., titulaire des relations bancaires n. 1 et n. 4 ouvertes près la banque E., B., titulaire de la relation bancaire n. 5 ouverte près la même banque, C. et D. Ltd, titulaires respectives des relations bancaires n. 3 et n. 2 près la banque F., disposent de la qualité pour s’opposer à la transmission à l’autorité requérante de la documentation visée par les décisions de clôture du MP-GE du 25 mai 2020 entreprises.</w:t>
      </w:r>
    </w:p>
    <w:p>
      <w:r>
        <w:rPr>
          <w:b/>
        </w:rPr>
        <w:t>E. 1.5</w:t>
      </w:r>
    </w:p>
    <w:p>
      <w:r>
        <w:t>Le recours est recevable et il y a lieu d’entrer en matière.</w:t>
      </w:r>
    </w:p>
    <w:p>
      <w:r>
        <w:rPr>
          <w:b/>
        </w:rPr>
        <w:t>E. 2</w:t>
      </w:r>
    </w:p>
    <w:p>
      <w:r>
        <w:t>Dans un premier grief, les recourants se prévalent d’une violation du principe de la double incrimination. Le MP-GE aurait à tort considéré, dans sa décision d’entrée en matière du 1er octobre 2019, que les faits visés par la procédure pénale néerlandaise seraient constitutifs d’escroquerie et de blanchiment d’argent, dans la mesure où le litige sous-tendant ladite procédure et opposant A. et l’investisseur hollandais, ayant porté plainte pénale contre lui, serait de nature purement commerciale, ce que les recourants auraient déjà suffisamment établi au cours de la procédure d’entraide (act. 1, ch. 3.2.2). En date du 29 juillet 2020, ils ont fait parvenir à la Cour de céans copie d’une décision de la Cour de district d’Amsterdam du</w:t>
      </w:r>
    </w:p>
    <w:p>
      <w:r>
        <w:rPr>
          <w:b/>
        </w:rPr>
        <w:t>E. 2.1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en relation avec l’art. 5 ch. 1 let. a CEEJ; ATF 124 II 184 consid. 4b/cc;</w:t>
      </w:r>
    </w:p>
    <w:p>
      <w:r>
        <w:t>- 7 -</w:t>
      </w:r>
    </w:p>
    <w:p>
      <w:r>
        <w:t>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2.2.1</w:t>
      </w:r>
    </w:p>
    <w:p>
      <w:r>
        <w:t>A teneur de l’art. 138 ch. 1 CP (abus de confiance),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w:t>
      </w:r>
    </w:p>
    <w:p>
      <w:r>
        <w:rPr>
          <w:b/>
        </w:rPr>
        <w:t>E. 2.2.2</w:t>
      </w:r>
    </w:p>
    <w:p>
      <w:r>
        <w:t>Aux termes de l'art. 146 al. 1 CP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w:t>
      </w:r>
    </w:p>
    <w:p>
      <w:r>
        <w:t>- 8 -</w:t>
      </w:r>
    </w:p>
    <w:p>
      <w:r>
        <w:t>préjudiciables à ses intérêts pécuniaires ou à ceux d'un tiers sera puni d'une peine privative de liberté de cinq ans au plus ou d'une peine pécuniaire.</w:t>
      </w:r>
    </w:p>
    <w:p>
      <w:r>
        <w:rPr>
          <w:b/>
        </w:rPr>
        <w:t>E. 2.2.3</w:t>
      </w:r>
    </w:p>
    <w:p>
      <w:r>
        <w:t>Selon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rPr>
          <w:b/>
        </w:rPr>
        <w:t>E. 2.3</w:t>
      </w:r>
    </w:p>
    <w:p>
      <w:r>
        <w:t>En l’espèce, il ressort de la demande d’entraide, de ses compléments, ainsi que des déterminations de l’autorité requérante des 16 avril et 25 mai 2020 que A. est soupçonné d’avoir utilisé à son profit une partie de l’argent remis par un investisseur hollandais aux fins d’investir dans des carrières de marbre en Iran; EUR 10 millions ont été versés sur des comptes bancaires personnels en Suisse de A. Des transferts suspectés en lien avec ces sommes détournées ont été effectués depuis des relations bancaires ouvertes en Suisse au nom de sociétés dont A. est ayant droit économique vers des comptes bancaires aux Pays-Bas d’autres de ses sociétés (v. supra Faits, let. A, F et documents cités). De tels faits, soit l’utilisation, pour son profit personnel, de sommes d’argent confiées ou remises dans un but précis peuvent, prima facie, être qualifiés d’abus de confiance (art. 138 ch. 1 CP) et/ou d’escroquerie (art. 146 CP). Ces deux infractions sont des crimes, selon le droit suisse, en tant qu’elles sont toutes deux passibles d’une peine privative de liberté de plus de trois ans (art. 10 al. 2 CP). Des transferts successifs de valeurs patrimoniales provenant de ces infractions opérés par le biais de comptes bancaires en Suisse au nom de A. et de sociétés lui appartenant peuvent constituer des entraves à l’identification de la provenance desdites valeurs patrimoniales et être qualifiés de blanchiment d’argent (art. 305bis CP). La condition abstraite de la double incrimination est manifestement réalisée, pour au moins une des infractions, sinon pour les trois.</w:t>
      </w:r>
    </w:p>
    <w:p>
      <w:r>
        <w:rPr>
          <w:b/>
        </w:rPr>
        <w:t>E. 2.4</w:t>
      </w:r>
    </w:p>
    <w:p>
      <w:r>
        <w:t>S’agissant de la thèse du litige commercial soutenue par les recourants, il en va d’une question relative au fond de l’affaire de compétence exclusive du juge étranger. Interpelée par le MP-GE au cours de la procédure d’entraide, l’autorité requérante l’a d’ailleurs, à plusieurs reprises, écartée, faute d’élément probant, et a confirmé les soupçons d’infractions existants contre A., fournissant des pièces de la procédure pénale en cours (v. supra Faits, let. F). En tout état de cause, cette allégation n’a aucune incidence sur la procédure d’entraide en cours.</w:t>
      </w:r>
    </w:p>
    <w:p>
      <w:r>
        <w:rPr>
          <w:b/>
        </w:rPr>
        <w:t>E. 2.5</w:t>
      </w:r>
    </w:p>
    <w:p>
      <w:r>
        <w:t>Compte tenu des principes de confiance et de bonne foi réciproques entre les Etats (v. ATF 121 I 181 consid. 2c/aa; 101 Ia 405 consid. 6bb), et à plus forte raison lorsque, comme en l’espèce, Ies Etats sont liés par plusieurs</w:t>
      </w:r>
    </w:p>
    <w:p>
      <w:r>
        <w:t>- 9 -</w:t>
      </w:r>
    </w:p>
    <w:p>
      <w:r>
        <w:t>traités spécifiques, il n’appartient pas à l’Etat requis de remettre en cause les déclarations de l’Etat requérant, sous réserve d’éventuelles contradictions manifestes (arrêt du Tribunal pénal fédéral RR.2016.278 du 1er mars 2017 consid. 2.5 et les références citées). Il n’y a ainsi pas lieu de douter que, dans le cas où l’autorité requérante aurait été en possession d’informations de nature à modifier les faits de sa demande d’entraide à la Suisse, elle en aurait fait part à l’autorité requise, voire aurait retiré sa demande d’entraide, ce qu’elle n’a pas fait. Cela scelle également le sort du grief relatif aux motifs de la décision suspendant la détention préventive de A. dans la procédure pénale hollandaise, soit qu’il n’existe en l’état aucune preuve à charge contre lui.</w:t>
      </w:r>
    </w:p>
    <w:p>
      <w:r>
        <w:rPr>
          <w:b/>
        </w:rPr>
        <w:t>E. 2.6</w:t>
      </w:r>
    </w:p>
    <w:p>
      <w:r>
        <w:t>Le premier grief soulevé est mal fondé.</w:t>
      </w:r>
    </w:p>
    <w:p>
      <w:r>
        <w:t>3. Dans un second grief, les recourants allèguent une violation du principe de la proportionnalité. Les décisions entreprises viseraient la transmission de documentation bancaire sans aucun lien avec les faits sous enquête aux Pays-Bas, en particulier celles des relations au nom des trois sociétés recourantes, et qui n’a, en outre, pas été requise, comme celle de la relation ouverte au nom de la société B. (act. 1, ch. 3.2.3).</w:t>
      </w:r>
    </w:p>
    <w:p>
      <w:r>
        <w:t>3.1</w:t>
      </w:r>
    </w:p>
    <w:p>
      <w:r>
        <w:t>3.1.1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w:t>
      </w:r>
    </w:p>
    <w:p>
      <w:r>
        <w:t>- 10 -</w:t>
      </w:r>
    </w:p>
    <w:p>
      <w:r>
        <w:t>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et s.). 3.1.2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3.1.3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6</w:t>
      </w:r>
    </w:p>
    <w:p>
      <w:r>
        <w:t>juillet 2020, prononçant la suspension de la détention préventive de A. à compter du 7 juillet 2020, au motif qu’il n’existe aucune preuve contre lui (act. 11).</w:t>
      </w:r>
    </w:p>
    <w:p>
      <w:r>
        <w:rPr>
          <w:b/>
        </w:rPr>
        <w:t>E. 9</w:t>
      </w:r>
    </w:p>
    <w:p>
      <w:r>
        <w:t>mai 2018 consid. 4.2).</w:t>
      </w:r>
    </w:p>
    <w:p>
      <w:r>
        <w:t>- 11 -</w:t>
      </w:r>
    </w:p>
    <w:p>
      <w:r>
        <w:t>3.2 En l’occurrence, contrairement à ce que soutiennent les recourants, le compte de la société D. Ltd près la banque F. est mentionné dans la demande d’entraide hollandaise en relation à un transfert suspect et sa documentation bancaire requise (v. supra Faits, let. A). La société C. y est également mentionnée (ibidem), de sorte que la transmission de la documentation bancaire de la relation dont cette société est titulaire auprès de la banque précitée s’inscrit également dans le cadre de la demande d’entraide. Quant à la documentation bancaire relative à la relation ouverte au nom de la société B., sa transmission n’apparaît pas disproportionnée, bien que ni cette société, ni son compte ne soient expressément mentionnés dans la demande d’entraide hollandaise et ses compléments. L’ayant droit économique des valeurs patrimoniales qui y sont déposées est A. (act. 1.6), auquel il est reproché le transfert à hauteur d’EUR 10 millions d’origine suspecte sur ses comptes bancaires personnels en Suisse. La transmission de la documentation relative aux relations bancaires de ladite société permet d’ailleurs d’éviter une demande d’entraide complémentaire, tout en rappelant qu’il ne s’agit pas uniquement d’aider l’Etat requérant à prouver des faits qu’il a déjà découverts, mais également d’en dévoiler d’autres (ZIMMERMANN, op. cit., n. 723). Il est en effet de jurisprudence constante que, conformément au principe de l’utilité potentielle l’autorité suisse transmette de la documentation bancaire allant au-delà de celle demandée par l’autorité requérante. L’autorité requérante doit vérifier l’existence, ou l’inexistence, d’autres transactions en lien avec les faits concernés par son enquête. Il n’appartient ni à l’autorité d’exécution, ni à l’autorité de recours de se substituer à l’autorité requérante dans l’appréciation de leur utilité effective pour l’enquête étrangère. Il existe ainsi un lien de connexité suffisant entre les informations à transmettre et l’état de fait de l’enquête pénale hollandaise qui justifie la transmission des données saisies, étant rappelé que l’entraide vise non seulement à recueillir des preuves à charge, mais également à décharge (v. supra consid. 3.1.2). Le grief doit être rejeté.</w:t>
      </w:r>
    </w:p>
    <w:p>
      <w:r>
        <w:t>4. S’agissant enfin du reproche itératif selon lequel la transmission de la documentation objet des décisions querellées permettrait à l’investisseur hollandais d’avoir accès à des informations confidentielles qu’il pourrait mésuser aux fins de nuire au recourants, il convient de relever que le droit de consulter le dossier de la procédure pénale en Hollande relève de la seule compétence de l’autorité requérante. Celle-ci a, de surcroît, précisé que l’investisseur néerlandais n’avait pas libre accès aux résultats de l’enquête pénale (dossier MP-GE, onglet E; déterminations de l’autorité requérante du 16 avril 2020, p. 3). Le grief doit être écarté.</w:t>
      </w:r>
    </w:p>
    <w:p>
      <w:r>
        <w:t>- 12 -</w:t>
      </w:r>
    </w:p>
    <w:p>
      <w:r>
        <w:t>5. Au vu de ce qui précède, le recours est rejeté dans sa conclusion principale, de sorte qu’il n’y pas lieu d’examiner les conclusions subsidiaires.</w:t>
      </w:r>
    </w:p>
    <w:p>
      <w:r>
        <w:t>6. 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aux recourants de supporter solidairement les frais du présent arrêt, lesquels sont fixés à CHF 8'000.-- (v. art. 73 al. 2 LOAP et art. 8 al. 3 du règlement du Tribunal pénal fédéral sur les frais, émoluments, dépens et indemnités de la procédure pénale fédérale du 31 août 2010 [RFPPF; RS 173.713.162] et art. 63 al. 5 PA), montant entièrement couvert par l’avance de frais déjà acquittée. La caisse du Tribunal pénal fédéral restituera à leur conseil le solde de CHF 403.20 versé en trop par rapport à l’invitation du 30 juin 2020 (v. act. 5 et 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