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RR.2020.145 vom 28. Juli 2020</w:t>
      </w:r>
    </w:p>
    <w:p>
      <w:r>
        <w:t>Bundesstrafgericht, 2020-07-28, DE</w:t>
      </w:r>
    </w:p>
    <w:p>
      <w:r>
        <w:rPr>
          <w:b/>
        </w:rPr>
        <w:t xml:space="preserve">Quelle: </w:t>
      </w:r>
      <w:r>
        <w:t>https://mcp.opencaselaw.ch/entscheid/bstger_RR.2020.145</w:t>
      </w:r>
    </w:p>
    <w:p>
      <w:r>
        <w:t>FR: TPF RR.2020.145 du 28 juillet 2020</w:t>
      </w:r>
    </w:p>
    <w:p>
      <w:r>
        <w:t>IT: TPF RR.2020.145 del 28 luglio 2020</w:t>
      </w:r>
    </w:p>
    <w:p>
      <w:pPr>
        <w:pStyle w:val="Heading2"/>
      </w:pPr>
      <w:r>
        <w:t>Regeste</w:t>
      </w:r>
    </w:p>
    <w:p>
      <w:r>
        <w:t>Internationale Rechtshilfe in Strafsachen an die USA. Dauer der Beschlagnahme (Art. 33a IRSV).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 und den fünf Beschwerdefüh- rern zu gleichen Teilen von je Fr. 200.– aufzuerlegen ist;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