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RR.2020.142 vom 7. Oktober 2020</w:t>
      </w:r>
    </w:p>
    <w:p>
      <w:r>
        <w:t>Bundesstrafgericht, 2020-10-07, DE</w:t>
      </w:r>
    </w:p>
    <w:p>
      <w:r>
        <w:rPr>
          <w:b/>
        </w:rPr>
        <w:t xml:space="preserve">Quelle: </w:t>
      </w:r>
      <w:r>
        <w:t>https://mcp.opencaselaw.ch/entscheid/bstger_RR.2020.142</w:t>
      </w:r>
    </w:p>
    <w:p>
      <w:r>
        <w:t>FR: TPF RR.2020.142 du 7 octobre 2020</w:t>
      </w:r>
    </w:p>
    <w:p>
      <w:r>
        <w:t>IT: TPF RR.2020.142 del 7 ottobre 2020</w:t>
      </w:r>
    </w:p>
    <w:p>
      <w:pPr>
        <w:pStyle w:val="Heading2"/>
      </w:pPr>
      <w:r>
        <w:t>Regeste</w:t>
      </w:r>
    </w:p>
    <w:p>
      <w:r>
        <w:t>Auslieferung an Deutschland. Rückweisungsurteil des Bundesgerichts. Kosten- und Entschädigungsfolgen.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Juli 2020 (act. 4) geltend gemachte zeitliche Aufwand als angemessen erscheint, weshalb ihm für das Verfahren vor dem Bundesstrafgericht an- tragsgemäss ein Honorar von Fr. 3'000.– (inkl. Barauslagen und 7.7 % MwSt.) auszurichten ist;</w:t>
      </w:r>
    </w:p>
    <w:p>
      <w:r>
        <w:t>- der Beschwerdeführer verpflichtet ist, Honorar und Kosten des Anwalts an das Bundesstrafgericht zu vergüten, wenn er später zu hinreichenden Mitteln gelangt (Art. 65 Abs. 4 VwVG);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