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RR.2020.140 vom 2. September 2020</w:t>
      </w:r>
    </w:p>
    <w:p>
      <w:r>
        <w:t>Bundesstrafgericht, 2020-09-02, IT</w:t>
      </w:r>
    </w:p>
    <w:p>
      <w:r>
        <w:rPr>
          <w:b/>
        </w:rPr>
        <w:t xml:space="preserve">Quelle: </w:t>
      </w:r>
      <w:r>
        <w:t>https://mcp.opencaselaw.ch/entscheid/bstger_RR.2020.140</w:t>
      </w:r>
    </w:p>
    <w:p>
      <w:r>
        <w:t>FR: TPF RR.2020.140 du 2 septembre 2020</w:t>
      </w:r>
    </w:p>
    <w:p>
      <w:r>
        <w:t>IT: TPF RR.2020.140 del 2 settembre 2020</w:t>
      </w:r>
    </w:p>
    <w:p>
      <w:pPr>
        <w:pStyle w:val="Heading2"/>
      </w:pPr>
      <w:r>
        <w:t>Regeste</w:t>
      </w:r>
    </w:p>
    <w:p>
      <w:r>
        <w:t>Assistenza giudiziaria internazinale in materia penale al Brasile. Consegna di mezzi di prova (art. 74 AIMP).</w:t>
      </w:r>
    </w:p>
    <w:p>
      <w:pPr>
        <w:pStyle w:val="Heading2"/>
      </w:pPr>
      <w:r>
        <w:t>Erwägungen</w:t>
      </w:r>
    </w:p>
    <w:p>
      <w:r>
        <w:rPr>
          <w:b/>
        </w:rPr>
        <w:t>E. 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2</w:t>
      </w:r>
    </w:p>
    <w:p>
      <w:r>
        <w:t>I rapporti di assistenza giudiziaria in materia penale fra il Brasile e la Confedera- zione svizzera sono retti dal Trattato di assistenza giudiziaria in materia penale del 12 maggio 2004, entrato in vigore il 27 luglio 2009 (RS 0.351.919.81; in se- guito: Trattato svizzero-brasiliano). Alle questioni che il prevalente diritto interna-</w:t>
      </w:r>
    </w:p>
    <w:p>
      <w:r>
        <w:t>- 4 - zionale contenuto in tale trattato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32 Trattato svizzero-brasiliano; DTF 142 IV 250 consid. 3; 140 IV 123 consid. 2; 137 IV 33 consid. 2.2.2). È fatto salvo il rispetto dei diritti fondamentali (DTF 135 IV 212 consid. 2.3; 123 II 595 consid. 7c).</w:t>
      </w:r>
    </w:p>
    <w:p>
      <w:r>
        <w:rPr>
          <w:b/>
        </w:rPr>
        <w:t>E. 3</w:t>
      </w:r>
    </w:p>
    <w:p>
      <w:r>
        <w:t>La procedura di ricorso è retta dalla legge federale sulla procedura amministrati- va del 20 dicembre 1968 (PA; RS 172.021) e dalle disposizioni dei pertinenti atti normativi in materia di assistenza giudiziaria (art. 39 cpv. 2 lett. b LOAP e 12 cpv. 1 AIMP; v. DANGUBIC/KESHELAVA, Commentario basilese, Internationales Strafre- cht, 2015, n. 1 e segg. ad art. 12 AIMP), di cui al precedente considerando.</w:t>
      </w:r>
    </w:p>
    <w:p>
      <w:r>
        <w:rPr>
          <w:b/>
        </w:rPr>
        <w:t>E. 4</w:t>
      </w:r>
    </w:p>
    <w:p>
      <w:r>
        <w:t>Interposto tempestivamente contro la decisione di chiusura dell’8 maggio 2020, il ricorso è ricevibile sotto il profilo degli art. 25 cpv. 1, 80e cpv. 1 e 80k AIMP.</w:t>
      </w:r>
    </w:p>
    <w:p>
      <w:r>
        <w:rPr>
          <w:b/>
        </w:rPr>
        <w:t>E. 5</w:t>
      </w:r>
    </w:p>
    <w:p>
      <w:r>
        <w:t>La ricevibilità del gravame presuppone anche la legittimazione del ricorrente giu- sta l’art. 80h AIMP. In base a quest’ultima disposizione, oltre all’UFG (art. 80h lett. a AIMP), ha diritto di ricorrere chiunque è toccato personalmente e diretta- mente da una misura di assistenza giudiziaria e ha un interesse degno di prote- zione all’annullamento o alla modifica della stessa (art. 80h lett. b AIMP, v. anche art. 21 cpv. 3 AIMP per quanto concerne le persone contro cui è diretto il proce- dimento penale all’estero). Per essere considerato personalmente e direttamente toccato da una misura di assistenza giudiziaria internazionale, il ricorrente deve avere un legame sufficientemente stretto con la decisione litigiosa (DTF 123 II 161 consid. 1 d/aa). Più concretamente, nel caso di una richiesta di informazioni su un conto bancario è considerato personalmente e direttamente toccato il titola- re del conto (v. art. 9a lett. b OAIMP), mentre l’interessato toccato solo in manie- ra indiretta, come ad esempio il mero avente diritto economico di un conto banca- rio, non può impugnare tali provvedimenti (DTF 139 II 404 consid. 2.1.1; 122 II 130 consid. 2b; TPF 2008 172 consid. 1.3). Eccezionalmente, la legittimazione a ricorrere è riconosciuta all'avente diritto economico di una società titolare di un conto quando la stessa è disciolta, riservato l'abuso di diritto (DTF 137 IV 134 consid. 5.2.1; 123 II 153 consid. 2c e d). In questo caso, tocca all'avente diritto economico dimostrare anzitutto la liquidazione della società mediante documen- tazione ufficiale (sentenze del Tribunale federale 1A.10/2000 del 18 maggio 2000</w:t>
      </w:r>
    </w:p>
    <w:p>
      <w:r>
        <w:t>- 5 - consid. 1e, in Praxis 2000 n° 133 pag. 790 e segg.; 1A.131/1999 del 26 agosto 1999 consid. 3). Egli deve inoltre dimostrare attraverso questa stessa documen- tazione oppure mediante altre prove di essere il beneficiario dello scioglimento della società in quanto tale (sentenza del Tribunale federale 1C_370/2012 del 3 ottobre 2012 consid. 2.7; sentenze del Tribunale penale federale RR.2012.257 del 2 luglio 2013 consid. 1.2.1; RR.2012.252 del 7 giugno 2013, consid. 2.2.1) e quindi non semplicemente di un suo conto bancario (TPF 2009 183 con- sid. 2.2.2).</w:t>
      </w:r>
    </w:p>
    <w:p>
      <w:r>
        <w:rPr>
          <w:b/>
        </w:rPr>
        <w:t>E. 6</w:t>
      </w:r>
    </w:p>
    <w:p>
      <w:r>
        <w:t>Anche ammettendo che il ricorrente sia l’avente diritto economico della società titolare della relazione bancaria oggetto della decisione impugnata, ciò ancora non significa che egli sia stato il beneficiario effettivo della liquidazione della stessa. Per stabilire chi è il beneficiario effettivo della liquidazione della società, la giurisprudenza richiede quanto meno dei formulari bancari oppure degli avvisi di addebito/accredito dai quali risulti che il saldo degli attivi della società liquidata è stato trasferito su un conto di cui è titolare il ricorrente (CAPPA, Averi societari sotto sequestro: res nullius?, in: forumpoenale 2018, pag. 46 con riferimenti ivi ci- tati).</w:t>
      </w:r>
    </w:p>
    <w:p>
      <w:r>
        <w:rPr>
          <w:b/>
        </w:rPr>
        <w:t>E. 7</w:t>
      </w:r>
    </w:p>
    <w:p>
      <w:r>
        <w:t>Nel caso concreto, la documentazione prodotta dal ricorrente permette di dimo- strare unicamente la dissoluzione della società E. B.V., titolare della relazione bancaria n. 1 presso banca D., Z. (v. act. 1.0, doc. 72). Non è invece stata fornita l’evidenza del trasferimento in favore di A. del saldo successivo alla dissoluzione della società. Il ricorrente sostiene di essere stato il destinatario effettivo della li- quidazione della società, ciò che sarebbe comprovato dal versamento dell’ultimo saldo (USD 385'313.59) a favore della società F. BV LLC, di cui egli sarebbe il beneficiario economico (v. ricorso, pag. 4). Tuttavia, sulla base del documento prodotto dal ricorrente a sostegno della propria tesi (v. act. 1.0, doc. 74), non è possibile determinare su quale conto bancario tale importo sia stato accreditato. Inoltre, qualora il saldo fosse stato versato sul conto della società F. BV LLC co- me sostenuto dal ricorrente, entrerebbe piuttosto in considerazione quest’ultima quale beneficiaria effettiva ai sensi della predetta giurisprudenza. Sulla base di quanto prodotto dal ricorrente, non è quindi possibile determinare se egli sia stato il beneficiario della liquidazione della società E. B.V., titolare del- la relazione bancaria oggetto della decisione impugnata. Nulla muta a questo proposito il documento “Poder especial” del 15 giugno 2015 (act. 1.0, doc. 73), secondo cui G., azionista unico della società E. B.V. al momento della liquidazio- ne, avrebbe agito a titolo fiduciario per conto del ricorrente. Tale documento con-</w:t>
      </w:r>
    </w:p>
    <w:p>
      <w:r>
        <w:t>- 6 - fermerebbe infatti il beneficio economico sulla società, ma nulla chiarisce in punto alla sorte della liquidazione della stessa.</w:t>
      </w:r>
    </w:p>
    <w:p>
      <w:r>
        <w:rPr>
          <w:b/>
        </w:rPr>
        <w:t>E. 8</w:t>
      </w:r>
    </w:p>
    <w:p>
      <w:r>
        <w:t>Per questi motivi, A. difetta della legittimazione a ricorrere e di conseguenza il suo gravame risulta irricevibile.</w:t>
      </w:r>
    </w:p>
    <w:p>
      <w:r>
        <w:rPr>
          <w:b/>
        </w:rPr>
        <w:t>E. 9</w:t>
      </w:r>
    </w:p>
    <w:p>
      <w:r>
        <w:t>Le spese seguono la soccombenza (v. art. 63 cpv. 1 PA). La tassa di giustizia è calcolata giusta gli art. 73 cpv. 2 LOAP, 63 cpv. 4bis PA, nonché 5 e 8 cpv. 3 del regolamento del 31 agosto 2010 sulle spese, gli emolumenti, le ripetibili e le in- dennità della procedura penale federale (RSPPF; RS 173.713.162), ed è com- plessivamente fissata nella fattispecie a fr. 2’000.–, a carico del ricorrente; essa è coperta dall’anticipo delle spese già versato di fr. 5'000.–. La cassa del Tribunale penale federale restituirà al ricorrente il saldo di fr. 3'000.–.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