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RR.2020.134 vom 14. Dezember 2020</w:t>
      </w:r>
    </w:p>
    <w:p>
      <w:r>
        <w:t>Bundesstrafgericht, 2020-12-14, IT</w:t>
      </w:r>
    </w:p>
    <w:p>
      <w:r>
        <w:rPr>
          <w:b/>
        </w:rPr>
        <w:t xml:space="preserve">Quelle: </w:t>
      </w:r>
      <w:r>
        <w:t>https://mcp.opencaselaw.ch/entscheid/bstger_RR.2020.134</w:t>
      </w:r>
    </w:p>
    <w:p>
      <w:r>
        <w:t>FR: TPF RR.2020.134 du 14 décembre 2020</w:t>
      </w:r>
    </w:p>
    <w:p>
      <w:r>
        <w:t>IT: TPF RR.2020.134 del 14 dicembre 2020</w:t>
      </w:r>
    </w:p>
    <w:p>
      <w:pPr>
        <w:pStyle w:val="Heading2"/>
      </w:pPr>
      <w:r>
        <w:t>Regeste</w:t>
      </w:r>
    </w:p>
    <w:p>
      <w:r>
        <w:t>Assistenza giudiziaria internazionale in materia penale all'Angola. Consegna di mezzi di prova (art. 74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Vista la natura dei reati oggetto della rogatoria angolana, applicabili alla fatti- specie sono gli art. 43 e segg. della Convenzione delle Nazioni Unite contro la corruzione (in seguito: UNCAC), conclusa il 31 ottobre 2003, entrata in vigore per l’Angola il 28 settembre 2006 e per la Svizzera il 24 ottobre 2009 (RS 0.311.56). Alle questioni che il prevalente diritto internazionale contenuto in tale convenzione non regola espressamente o implicitamente, come pure quando il diritto nazionale sia più favorevole all'assistenza rispetto a quello pat- tizio (cosiddetto principio di favore), si applicano la legge sull'assistenza in ma- teria penale, unitamente alla relativa ordinanza (OAIMP; RS 351.11; v. art. 1 cpv. 1 AIMP; DTF 142 IV 250 consid. 3; 140 IV 123 consid. 2; 137 IV 33 con- sid. 2.2.2; 136 IV 82 consid. 3.1).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il ri- corso è ricevibile sotto il profilo degli art. 25 cpv. 1, 80e cpv. 1 e 80k AIMP.</w:t>
      </w:r>
    </w:p>
    <w:p>
      <w:r>
        <w:rPr>
          <w:b/>
        </w:rPr>
        <w:t>E. 1.6</w:t>
      </w:r>
    </w:p>
    <w:p>
      <w:r>
        <w:t>La ricevibilità del gravame presuppone tuttavia anche la legittimazione a ricor- rere degli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w:t>
      </w:r>
    </w:p>
    <w:p>
      <w:r>
        <w:t>- 5 -</w:t>
      </w:r>
    </w:p>
    <w:p>
      <w:r>
        <w:t>persone contro cui è diretto il procedimento penale all'estero). Il concetto di per- sona toccata ai sensi dei predetti articoli di legge trova concretizzazione sia nella giurisprudenza che all'art. 9a OAIMP. Per essere considerato personal- mente e direttamente toccato da una misura di assistenza giudiziaria interna- zionale, il ricorrente deve avere un legame sufficientemente stretto con la deci- sione litigiosa (DTF 137 IV 134 consid. 5.2.1; 123 II 161 consid. 1 d/aa). Più concretamente, nel caso del blocco di un conto è considerato personalmente e direttamente toccato il titolare del conto (DTF 137 IV 134 consid. 5.2.1 e 6.1, con rinvii, e 118 Ib 547 consid. 1d). In via giurisprudenziale è stato altresì pre- cisato che gli interessati toccati solo in maniera indiretta, come ad esempio il mero avente diritto economico di un conto bancario, non possono impugnare tali provvedimenti (DTF 137 IV 134 consid. 5.2.1 e 122 II 130 consid. 2b e rinvii).</w:t>
      </w:r>
    </w:p>
    <w:p>
      <w:r>
        <w:t>In concreto, con il ricorso è stata inoltrata una procura datata 25 settembre 2017 firmata da B. (v. act. 1.1). Con scritto dell’8 giugno 2020, questa Corte, confor- memente all’art. 52 cpv. 2 e 3 PA, ha invitato a produrre svariati documenti al fine di regolarizzare il ricorso (v. act. 3). Dopo la concessione di due proroghe del termine, con scritto del 27 luglio 2020 sono stati prodotti svariati documenti (v. act. 9). Occorre innanzitutto constatare che B. è l’avente diritto economico del conto litigioso (v. act. 1, pag. 6), ma non figura tra le persone, indicate nel registro pubblico di Panama, abilitate a rappresentare la società in questione (v. act. 9.2). Con lo scritto del 27 luglio scorso, è stata prodotta una nuova pro- cura firmata il giorno prima dalla società F. SA a favore dell’avv. Lucien W. Val- loni (v. act. 9.5). Ora, nella misura in cui tale società risulta essere la proprietaria delle azioni della ricorrente, detenute a titolo fiduciario per conto di B. (v. act. 9, pag. 2), ma non figura a sua volta nel registro pubblico panamense tra le per- sone legittimate a rappresentarla (v. act. 9.2), il ricorso risulta irricevibile per mancanza di una procura valida.</w:t>
      </w:r>
    </w:p>
    <w:p>
      <w:r>
        <w:rPr>
          <w:b/>
        </w:rPr>
        <w:t>E. 2</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Essa è coperta dall'anticipo delle spese di fr. 5'000.– già versato. La cassa del Tribunale penale federale restituirà alla ricorrente il saldo di fr.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