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RR.2020.121 vom 18. August 2020</w:t>
      </w:r>
    </w:p>
    <w:p>
      <w:r>
        <w:t>Bundesstrafgericht, 2020-08-18, IT</w:t>
      </w:r>
    </w:p>
    <w:p>
      <w:r>
        <w:rPr>
          <w:b/>
        </w:rPr>
        <w:t xml:space="preserve">Quelle: </w:t>
      </w:r>
      <w:r>
        <w:t>https://mcp.opencaselaw.ch/entscheid/bstger_RR.2020.121</w:t>
      </w:r>
    </w:p>
    <w:p>
      <w:r>
        <w:t>FR: TPF RR.2020.121 du 18 août 2020</w:t>
      </w:r>
    </w:p>
    <w:p>
      <w:r>
        <w:t>IT: TPF RR.2020.121 del 18 agosto 2020</w:t>
      </w:r>
    </w:p>
    <w:p>
      <w:pPr>
        <w:pStyle w:val="Heading2"/>
      </w:pPr>
      <w:r>
        <w:t>Regeste</w:t>
      </w:r>
    </w:p>
    <w:p>
      <w:r>
        <w:t>Assistenza giudiziaria internazionale in materia penale al Brasile. Sequestro di valori (art. 80 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sull'assistenza in materia penale, unitamente alla relativa ordinanza (OAIMP; RS 351.11; v. art. 1 cpv. 1 AIMP, art. 32 Trattato svizzero-brasiliano; DTF 142 IV 250 consid. 3; 140 IV 123 consid. 2; 137 IV 33 consid. 2.2.2). È fatto salvo il rispetto dei diritti fondamentali (DTF 135 IV 212 consid. 2.3; 123 II 595 consid. 7c).</w:t>
      </w:r>
    </w:p>
    <w:p>
      <w:r>
        <w:rPr>
          <w:b/>
        </w:rPr>
        <w:t>E. 1.3</w:t>
      </w:r>
    </w:p>
    <w:p>
      <w:r>
        <w:t>Il ricorso è stato tempestivamente interposto contro una decisione di blocco di conti bancari dell'autorità federale d'esecuzione (v. art. 80k AIMP). Le decisioni</w:t>
      </w:r>
    </w:p>
    <w:p>
      <w:r>
        <w:t>- 4 -</w:t>
      </w:r>
    </w:p>
    <w:p>
      <w:r>
        <w:t>incidentali anteriori alla decisione di chiusura possono essere impugnate sepa- ratamente se causano un pregiudizio immediato e irreparabile mediante il se- questro di beni e valori oppure la presenza di persone che partecipano al pro- cesso (art. 80e cpv. 2 AIMP).</w:t>
      </w:r>
    </w:p>
    <w:p>
      <w:r>
        <w:rPr>
          <w:b/>
        </w:rPr>
        <w:t>E. 1.4</w:t>
      </w:r>
    </w:p>
    <w:p>
      <w:r>
        <w:t>La ricevibilità del gravame presuppone tuttavia anche la legittimazione a ricor- rere degli insorgenti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137 IV 134 consid. 5.2.1; 123 II 161 consid. 1 d/aa). Più concreta- mente, nel caso del blocco di un conto è considerato personalmente e diretta- mente toccato il titolare del conto (DTF 137 IV 134 consid. 5.2.1 e 6.1, con rinvii, e 118 Ib 547 consid. 1d). In via giurisprudenziale è stato altresì precisato che gli interessati toccati solo in maniera indiretta, come ad esempio il mero avente diritto economico di un conto bancario, non possono impugnare tali provvedi- menti (DTF 137 IV 134 consid. 5.2.1 e 122 II 130 consid. 2b e rinvii).</w:t>
      </w:r>
    </w:p>
    <w:p>
      <w:r>
        <w:rPr>
          <w:b/>
        </w:rPr>
        <w:t>E. 1.4.1</w:t>
      </w:r>
    </w:p>
    <w:p>
      <w:r>
        <w:t>In qualità di mero avente diritto economico della relazione n. 1 B, non dispone della legittimazione ricorsuale.</w:t>
      </w:r>
    </w:p>
    <w:p>
      <w:r>
        <w:rPr>
          <w:b/>
        </w:rPr>
        <w:t>E. 1.4.2</w:t>
      </w:r>
    </w:p>
    <w:p>
      <w:r>
        <w:t>Per quanto concerne la società A. Ltd, essa è invece titolare della relazione bancaria in questione e sarebbe di per sé legittimata a ricorrere. Tuttavia, con- siderata la sua radiazione dal registro di commercio delle BVI, emerge la que- stione di sapere se la società abbia la necessaria capacità di essere parte nella procedura.</w:t>
      </w:r>
    </w:p>
    <w:p>
      <w:r>
        <w:rPr>
          <w:b/>
        </w:rPr>
        <w:t>E. 1.4.3</w:t>
      </w:r>
    </w:p>
    <w:p>
      <w:r>
        <w:t>Durante la procedura di ricorso sono ammessi come parti unicamente coloro che hanno la capacità processuale al momento dell’inoltro del gravame (deci- sione del Tribunale amministrativo federale A-5410/2012 del 28 maggio 2013 consid. 2 con rinvii). La capacità di essere parte in un procedimento è la capa- cità di una persona di svolgere un ruolo attivo o passivo nei procedimenti. Il concetto non è espressamente regolato né dalle disposizioni della legge sull’as- sistenza giudiziaria né dalla PA, applicabile grazie al rinvio di cui all’art. 39 cpv.</w:t>
      </w:r>
    </w:p>
    <w:p>
      <w:r>
        <w:rPr>
          <w:b/>
        </w:rPr>
        <w:t>E. 1.4.4</w:t>
      </w:r>
    </w:p>
    <w:p>
      <w:r>
        <w:t>Firmatario della procura è B., il quale, in veste di direttore della società, è auto- rizzato a rappresentarla (v. act. 5.3).</w:t>
      </w:r>
    </w:p>
    <w:p>
      <w:r>
        <w:rPr>
          <w:b/>
        </w:rPr>
        <w:t>E. 1.4.5</w:t>
      </w:r>
    </w:p>
    <w:p>
      <w:r>
        <w:t>Sulla base di quanto comunicato dalla società A. Ltd (v. Fatti E.), la stessa sa- rebbe stata radiata dal registro di commercio delle BVI per non aver pagato le spese amministrative relative all’iscrizione in base all’art. 213 cpv. 1 lett. c del BVI Business Companies Act. Secondo l’art. 217 della stessa legge sarebbe tuttavia possibile il ripristino dell’iscrizione mediante una domanda idonea e il pagamento di una tassa.</w:t>
      </w:r>
    </w:p>
    <w:p>
      <w:r>
        <w:t>Ora, nella misura in cui il ricorrente sostiene di aver avviato la procedura per reintrodurre la società nel registro, la sua capacità di agire è data alla condizione che la società venga reinserita con effetto retroattivo perlomeno fino al mo- mento dell’inoltro del ricorso. In concreto la questione può comunque rimanere indecisa poiché il ricorso è da dichiarare inammissibile per i seguenti motivi.</w:t>
      </w:r>
    </w:p>
    <w:p>
      <w:r>
        <w:t>- 6 -</w:t>
      </w:r>
    </w:p>
    <w:p>
      <w:r>
        <w:rPr>
          <w:b/>
        </w:rPr>
        <w:t>E. 2</w:t>
      </w:r>
    </w:p>
    <w:p>
      <w:r>
        <w:t>La ricorrente censura innanzitutto la violazione degli art. 63 cpv. 1 AIMP e 24 del Trattato svizzero-brasiliano. Essa sostiene che all’estero non vi sia nessun procedimento penale pendente a suo carico in relazione al conto oggetto della decisione di sequestro, né vi sarebbe alcuna procedura investigativa nei con- fronti di B., per questo motivo l’autorità rogata non sarebbe potuta entrare nel merito della domanda di assistenza e ordinare il sequestro dei suoi valori patri- moniali. La rogatoria si baserebbe poi sull’art. 333 CP/BR per la richiesta di sequestro, infrazione per la quale la ricorrente non sarebbe indagata. Il contratto firmato da B. non avrebbe inoltre carattere definitivo, a causa di punti poco chiari esso sarebbe infatti oggetto di un ricorso in Brasile. L’insorgente censura infine la violazione degli art. 74a AIMP e 12 cpv. 1 del Trattato svizzero-brasiliano. A suo dire, conformemente al diritto brasiliano, il sequestro può avvenire unica- mente sulla base di una condanna penale, rispettivamente di un giudizio defini- tivo ed esecutivo di un’autorità penale, che nel caso concreto mancherebbe.</w:t>
      </w:r>
    </w:p>
    <w:p>
      <w:r>
        <w:rPr>
          <w:b/>
        </w:rPr>
        <w:t>E. 2.1</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decisione del Tribunale penale federale RR.2007.43 del 16 maggio 2007 consid. 2.2 e rinvii).</w:t>
      </w:r>
    </w:p>
    <w:p>
      <w:r>
        <w:rPr>
          <w:b/>
        </w:rPr>
        <w:t>E. 2.2</w:t>
      </w:r>
    </w:p>
    <w:p>
      <w:r>
        <w:t>In concreto, occorre rilevare che la ricorrente non ha prodotto alcuna documen- tazione che permetta di chiarire la sua situazione finanziaria, per cui a queste condizioni risulta impossibile per questa Corte valutare l'effettiva esistenza di un pregiudizio immediato ed irreparabile. In altre parole, l’insorgente non ha dimostrato di non disporre di altri mezzi per far fronte ai suoi impegni. Di fronte ad un quadro finanziario così lacunoso e poco trasparente non basta affermare che “l’ensemble des avoirs du Recourant font l’objet de décisions de séquestre et qu’il ne dispose donc plus de ses biens” (v. act. 1 pag. 2). Si tratta di generi- che affermazioni la cui veridicità può essere verificata soltanto mettendo a di- sposizione della Corte i necessari elementi probatori per fare chiarezza sull'e- sistenza di un effettivo pregiudizio ai sensi della giurisprudenza sopraccitata.</w:t>
      </w:r>
    </w:p>
    <w:p>
      <w:r>
        <w:t>- 7 -</w:t>
      </w:r>
    </w:p>
    <w:p>
      <w:r>
        <w:t>Non fa da ostacolo a questa conclusione nemmeno il fatto che l’accordo con- cluso da B. sia al momento contestato in Brasile con la possibile conseguenza che i valori sequestrati risultino in seguito sproporzionati rispetto ad un’ipotetica decisione esecutiva futura, censura prematura a questo stadio del procedi- mento. Anche l’asserito pregiudizio ai danni dell’ex-moglie di B., la quale riven- dicherebbe metà degli averi sequestrati, non è rilevante nella presente proce- dura, poiché la ricorrente non può far valere censure nell’interesse di terzi (v. decisioni del Tribunale penale federale RR.2020.14 dell’11 maggio 2020 consid. 4.2; RR.2014.315 del 5 marzo 2015 consid. 2.2).</w:t>
      </w:r>
    </w:p>
    <w:p>
      <w:r>
        <w:rPr>
          <w:b/>
        </w:rPr>
        <w:t>E. 2.3</w:t>
      </w:r>
    </w:p>
    <w:p>
      <w:r>
        <w:t>Da quanto sopra discende che il ricorso è inammissibile già per la mancanza di un pregiudizio immediato e irreparabile giusta l'art. 80e cpv. 2 lett. a AIMP, il che rende superfluo l'esame delle restanti censure.</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com- plessivi fr. 4'000.-- a carico dei ricorrenti in solido. Essa è coperta dall'anticipo delle spese già versato. La cassa del Tribunale penale federale restituirà ai ri- correnti il saldo di fr.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