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RR.2020.120 vom 7. September 2020</w:t>
      </w:r>
    </w:p>
    <w:p>
      <w:r>
        <w:t>Bundesstrafgericht, 2020-09-07, IT</w:t>
      </w:r>
    </w:p>
    <w:p>
      <w:r>
        <w:rPr>
          <w:b/>
        </w:rPr>
        <w:t xml:space="preserve">Quelle: </w:t>
      </w:r>
      <w:r>
        <w:t>https://mcp.opencaselaw.ch/entscheid/bstger_RR.2020.120</w:t>
      </w:r>
    </w:p>
    <w:p>
      <w:r>
        <w:t>FR: TPF RR.2020.120 du 7 septembre 2020</w:t>
      </w:r>
    </w:p>
    <w:p>
      <w:r>
        <w:t>IT: TPF RR.2020.120 del 7 settembre 2020</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applicano la legge sull'assistenza in materia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tempestivamente interposto contro una decisione di blocco di un conto bancario dell’autorità federale d’esecuzione (v. art. 80k AIMP). Le de- cisioni incidentali anteriori alla decisione di chiusura possono essere impugnate separatamente se causano un pregiudizio immediato e irreparabile mediante il sequestro di beni e valori oppure la presenza di persone che partecipano al processo (art. 80e cpv. 2 AIMP). Titolare della relazione oggetto della decisione</w:t>
      </w:r>
    </w:p>
    <w:p>
      <w:r>
        <w:t>- 5 -</w:t>
      </w:r>
    </w:p>
    <w:p>
      <w:r>
        <w:t>impugnata, A. dispone della legittimità ricorsuale (v. art. 80h lett. b AIMP, art. 9a lett. a OAIMP; DTF 137 IV 134 consid. 6.1; 118 Ib 547 consid. 1d; TPF 2007 79 consid. 1.6 pag. 82).</w:t>
      </w:r>
    </w:p>
    <w:p>
      <w:r>
        <w:rPr>
          <w:b/>
        </w:rPr>
        <w:t>E. 2</w:t>
      </w:r>
    </w:p>
    <w:p>
      <w:r>
        <w:t>Il ricorrente sostiene che il sequestro dei valori patrimoniali gli arrechi un pre- giudizio immediato, grave ed irreparabile poiché la misura lo priverebbe dei fondi necessari al normale sostentamento della propria famiglia. Ciò vale a maggior ragione visti l’attuale blocco delle attività lavorative causato dall’epide- mia di Covid e la sua attuale disoccupazione, nonché considerata l’origine lecita dei fondi litigiosi.</w:t>
      </w:r>
    </w:p>
    <w:p>
      <w:r>
        <w:rPr>
          <w:b/>
        </w:rPr>
        <w:t>E. 2.1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occorre rilevare che il ricorrente ha censurato soprattutto la man- canza di un sequestro preventivo da parte dell’autorità rogante, la quale non avrebbe richiesto il blocco dei valori litigiosi, nonché invocato l’origine lecita di questi ultimi. Premesso che, con complemento rogatoriale del 10 luglio 2020, l’autorità estera ha pronunciato il sequestro preventivo dei valori litigiosi nonché richiesto espressamente il blocco in Svizzera degli stessi, le censure presentate dal ricorrente risultano premature a questo stadio della procedura, precisato che le stesse non permettono in ogni caso di concludere che la rogatoria è manife- stamente inammissibile (v. DTF 121 II 241 consid. 3; sentenza del Tribunale federale 1A.258/2006 del 16 febbraio 2007 consid. 2.3). Ciò detto, egli ha alle- gato documentazione relativa alla sua attività lavorativa per la H. SA, società per altro coinvolta nell’inchiesta italiana (v. act. 8.2 pag. 2), nonché la documen- tazione relativa al suo conto italiano dal quale sono stati effettuati i bonifici a favore della relazione posta sotto sequestro nonché tre buste paga a dimostra- zione della provenienza lecita dei valori litigiosi. In sede di replica, il ricorrente,</w:t>
      </w:r>
    </w:p>
    <w:p>
      <w:r>
        <w:t>- 6 -</w:t>
      </w:r>
    </w:p>
    <w:p>
      <w:r>
        <w:t>asserendo che la misura contestata lo priverebbe dei fondi necessari al normale sostentamento della propria famiglia, ha inoltre prodotto documentazione ban- caria attestante sue spese mensili (ad es. rata del mutuo, canone della carta di credito, ecc.) nonché un verbale di conciliazione giudiziale del 6 febbraio 2017 redatto dal Tribunale di Milano, Sezione Lavoro, concernente la fine del suo rapporto di lavoro con J. S.r.l., dal quale emerge, tra l’altro, il riconoscimento ad A. di svariate somme, segnatamente EUR 150'000.– a titolo di incentivo all’esodo (v. act. 12.2). Tale documentazione non permette tuttavia di chiarire la sua globale situazione finanziaria e di verificare se egli dispone di altre entrate per far fronte alle sue spese. Le allegazioni concernenti le sue difficoltà econo- miche sono molto vaghe e i supporti documentali insufficienti per fare chiarezza sull’esistenza di un effettivo pregiudizio. Del resto egli stesso sottolinea nel ri- corso (act. 1 pag. 1) di avere conti correnti, beni immobili, beni e valori mobili in Italia che non sono oggetto di sequestro, per cui è palese che la documenta- zione da lui fornita è gravemente lacunosa. A queste condizioni, risulta impos- sibile per questa Corte valutare se esiste o meno un pregiudizio immediato e irreparabile ai sensi della giurisprudenza sopraccitata.</w:t>
      </w:r>
    </w:p>
    <w:p>
      <w:r>
        <w:rPr>
          <w:b/>
        </w:rPr>
        <w:t>E. 2.3</w:t>
      </w:r>
    </w:p>
    <w:p>
      <w:r>
        <w:t>Da quanto sopra discende che il ricorso è inammissibile per la mancata dimo- 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2'000.–.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