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RR.2020.110 vom 18. November 2020</w:t>
      </w:r>
    </w:p>
    <w:p>
      <w:r>
        <w:t>Bundesstrafgericht, 2020-11-18, DE</w:t>
      </w:r>
    </w:p>
    <w:p>
      <w:r>
        <w:rPr>
          <w:b/>
        </w:rPr>
        <w:t xml:space="preserve">Quelle: </w:t>
      </w:r>
      <w:r>
        <w:t>https://mcp.opencaselaw.ch/entscheid/bstger_RR.2020.110</w:t>
      </w:r>
    </w:p>
    <w:p>
      <w:r>
        <w:t>FR: TPF RR.2020.110 du 18 novembre 2020</w:t>
      </w:r>
    </w:p>
    <w:p>
      <w:r>
        <w:t>IT: TPF RR.2020.110 del 18 novembre 2020</w:t>
      </w:r>
    </w:p>
    <w:p>
      <w:pPr>
        <w:pStyle w:val="Heading2"/>
      </w:pPr>
      <w:r>
        <w:t>Regeste</w:t>
      </w:r>
    </w:p>
    <w:p>
      <w:r>
        <w:t>Internationale Rechtshilfe in Strafsachen an Deutschland. Herausgabe zur Einziehung (Art. 74a IRSG).</w:t>
      </w:r>
    </w:p>
    <w:p>
      <w:pPr>
        <w:pStyle w:val="Heading2"/>
      </w:pPr>
      <w:r>
        <w:t>Erwägungen</w:t>
      </w:r>
    </w:p>
    <w:p>
      <w:r>
        <w:rPr>
          <w:b/>
        </w:rPr>
        <w:t>E. 1</w:t>
      </w:r>
    </w:p>
    <w:p>
      <w:r>
        <w:t>Mit Eingabe vom 27. April 2020 (RR.2020.110-111, act. 1) erhob der Be- schwerdeführer 1 sowohl in eigenem Namen als auch als Geschäftsführer der Beschwerdeführerin 2 Beschwerde gegen die Schlussverfügung der Be- schwerdegegnerin vom 1. April 2020. Die vom Vertreter des Beschwerde- führers 1 eingereichte Beschwerde vom 15. Mai 2020 (RR.2020.125, act. 1) richtet sich gegen dieselbe Verfügung. Die verschiedenen Beschwerdever- fahren sind aufgrund des engen Sachzusammenhangs zu vereinigen. Die Beurteilung der unabhängig voneinander erhobenen Beschwerden erfolgt damit im Rahmen des vorliegenden Entscheids.</w:t>
      </w:r>
    </w:p>
    <w:p>
      <w:r>
        <w:rPr>
          <w:b/>
        </w:rPr>
        <w:t>E. 2.1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 men», 8.1 Anhang A; https://www.admin.ch/opc/de/european-union/interna- tional-agreements/008.html) zur Anwendung (TPF 2009 111 E. 1.2 S. 113).</w:t>
      </w:r>
    </w:p>
    <w:p>
      <w:r>
        <w:t>- 6 -</w:t>
      </w:r>
    </w:p>
    <w:p>
      <w:r>
        <w:t>Günstigere Bestimmungen bilateraler oder multilateraler Übereinkünfte zwi- schen den Vertragsparteien bleiben unberührt (Art. 48 Abs. 2 SDÜ; Art. 26 Abs. 2 und 3 EUeR).</w:t>
      </w:r>
    </w:p>
    <w:p>
      <w:r>
        <w:rPr>
          <w:b/>
        </w:rPr>
        <w:t>E. 2.2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Personen, gegen die sich das ausländische Strafverfahren richtet, sind unter denselben Bedingungen beschwerdelegitimiert (Art. 21 Abs. 3 IRSG).</w:t>
      </w:r>
    </w:p>
    <w:p>
      <w:r>
        <w:rPr>
          <w:b/>
        </w:rPr>
        <w:t>E. 3.2.1</w:t>
      </w:r>
    </w:p>
    <w:p>
      <w:r>
        <w:t>Wird mit dem Rechtshilfeersuchen die Herausgabe von Gegenständen oder Vermögenswerten zur Einziehung verlangt (Art. 74a IRSG), so wird die Be- schwerdelegitimation nur zurückhaltend bejaht. Sie steht in erster Linie dem Inhaber von Guthaben zu, namentlich dem Inhaber von Bankkonten, auf wel- chen sich die betreffenden Vermögenswerte befinden (BGE 131 II 169 E. 2.2.1), oder dem Besitzer der beschlagnahmten Gegenstände (BGE 123 II 134) und zwar nach Massgabe der aus Art. 80h lit. b IRSG abgeleiteten Kriterien (vgl. hierzu zuletzt u.a. die Entscheide des Bundesstrafgerichts</w:t>
      </w:r>
    </w:p>
    <w:p>
      <w:r>
        <w:t>- 7 -</w:t>
      </w:r>
    </w:p>
    <w:p>
      <w:r>
        <w:t>RR.2018.348 vom 15. Oktober 2019 E. 2.2; RR.2018.253 vom 15. Januar 2019 E. 2.2).</w:t>
      </w:r>
    </w:p>
    <w:p>
      <w:r>
        <w:rPr>
          <w:b/>
        </w:rPr>
        <w:t>E. 3.2.2</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Geht der Beschlag- nahme keine Hausdurchsuchung voraus, trifft auch eine solche Beschlag- nahme den Inhaber des zu beschlagnahmenden Objekts. Inhaber ist jene Person, welche den Gewahrsam oder die tatsächliche Herrschaft über einen Gegenstand innehat. Er hat sich unmittelbar der angeordneten Zwangs- massnahme zu unterwerfen. Schliesslich trifft auch ihn eine allfällige Heraus- gabepflicht. Entsprechend hat bei Beschlagnahmungen grundsätzlich der In- haber des beschlagnahmten Objekts – in Analogie zur Rechtslage bei Haus- durchsuchungen – als persönlich und direkt betroffen zu gelten (vgl. zum Ganzen TPF 2014 113 E. 3.2.2 S. 117 f. m.w.H.). Im Zusammenhang mit der rechtshilfeweisen Herausgabe dieser Gegenstände zur Einziehung oder Rückerstattung an den Berechtigten wird der Umfang der Rechte Dritter in Art. 74a Abs. 4 und 5 IRSG präzisiert (siehe dazu untenstehende E. 3.3.1).</w:t>
      </w:r>
    </w:p>
    <w:p>
      <w:r>
        <w:rPr>
          <w:b/>
        </w:rPr>
        <w:t>E. 3.2.3</w:t>
      </w:r>
    </w:p>
    <w:p>
      <w:r>
        <w:t>Erfolgt die Hausdurchsuchung in einem Zollfreilager, stellt sich die Frage, wer im Zeitpunkt der Sicherstellung die tatsächliche Verfügungsgewalt über die zu beschlagnahmenden Gegenstände hatte. Den bundesgerichtlichen Urteilen, welche sich auf Beschlagnahmen in Zollfreilagern beziehen, liegen unterschiedliche Anknüpfungspunkte zur Bestimmung der Legitimation zu- grunde, welche über die dargelegten Grundsätze hinaus keine Verallgemei- nerung zulassen. Daraus folgt, dass die konkrete Ausgestaltung des Ver- tragsverhältnisses mit dem Zollfreilager (Lagervertrag, Mietvertrag etc.) be- stimmt, wer persönlich und direkt von der Rechtshilfemassnahme betroffen ist (siehe hierzu TPF 2014 113 E. 3.2.3 m.w.H.).</w:t>
      </w:r>
    </w:p>
    <w:p>
      <w:r>
        <w:rPr>
          <w:b/>
        </w:rPr>
        <w:t>E. 3.2.4</w:t>
      </w:r>
    </w:p>
    <w:p>
      <w:r>
        <w:t>Die vorliegend herauszugebenden Waffen wurden am 30. Dezember 2011 im Auftrag des Beschwerdeführers 1 durch eine Speditionsfirma von Deutschland aus auf schweizerisches Hoheitsgebiet verbracht (Akten EZV, Nr. 3/1, S. 2). Eine definitive Einfuhrabfertigung war nicht möglich, da die für</w:t>
      </w:r>
    </w:p>
    <w:p>
      <w:r>
        <w:t>- 8 -</w:t>
      </w:r>
    </w:p>
    <w:p>
      <w:r>
        <w:t>den Import der Waffen in die Schweiz erforderlichen Unterlagen nicht vorla- gen. Nach Ablauf der Deklarationsfrist wurden die Waffen deshalb in das Zollfreilager in Z. verbracht. Der Beschwerdeführer 1 wurde hierüber mit Schreiben vom 2. März 2012 informiert. Die Waffen hätten in der Folge in Erfüllung der in diesem Schreiben genannten Bedingungen durch den Be- schwerdeführer 1 in die Schweiz eingeführt werden können (vgl. Akten EZV, Nr. 5), was nicht erfolgt ist. Am 26. November 2013 wurden die Waffen rechtshilfeweise beschlagnahmt. Eingelagert waren sie in diesem Zeitpunkt im Zollfreilager der C. AG (Akten EZV, Nr. 3/1 und 4/1), heute in demjenigen der D. GmbH. Im Zeitpunkt der Beschlagnahme war somit die C. AG Inha- berin der Waffen und sie musste sich dieser Zwangsmassnahme unterzie- hen. Den Ausführungen der Beschwerdeführer zufolge handle es sich bei der Beschwerdeführerin 2 angeblich um die Eigentümerin der herauszuge- benden Waffen. Sie habe diese erworben, nachdem die Waffen zuvor ge- mäss Kaufvertrag vom 24. März 2013 durch den Beschwerdeführer 1 an E. veräussert worden seien (vgl. Akten EZV, Nr. 10; RR.2020.125, act. 1, S. 7; RR.2020.110-111, act. 16). Der Beschwerdeführer 1 begründet seine Beschwer und damit seine Beschwerdelegitimation mit nicht näher definier- ten «finanziellen Interessen zum Erhalt des interessierenden Eigentums» (Akten EZV, Nr. 10; RR.2020.125, act. 1, S. 2 sowie act. 18, S. 5). Dass die Beschwerdeführer im Zeitpunkt der Beschlagnahme die tatsächliche Verfü- gungsgewalt über die Waffen hatten, geht somit weder aus der Beschwerde noch aus den vorliegenden Akten hervor. Deren Beschwerdelegitimation im Sinne von Art. 80h lit. b IRSG (i.V.m. Art. 9a lit. b IRSV) kann somit nicht bejaht werden.</w:t>
      </w:r>
    </w:p>
    <w:p>
      <w:r>
        <w:rPr>
          <w:b/>
        </w:rPr>
        <w:t>E. 3.3.1</w:t>
      </w:r>
    </w:p>
    <w:p>
      <w:r>
        <w:t>Sodann sind auch die in Art. 74a Abs. 4 IRSG genannten Personen zur Be- schwerde legitimiert (Urteil des Bundesgerichts 1C_166/2009 vom 3. Juli 2009 E. 2.3.4; BOMIO/GLASSEY, La qualité pour recourir dans le domaine de l'entraide judiciaire internationale en matière pénale, Jusletter vom 13. De- zember 2010, N. 49 ff.; vgl. zuletzt u.a. Entscheide des Bundesstrafgerichts RR.2018.348 vom 15. Oktober 2019 E. 2.2; RR.2017.306 vom 8. März 2018 E. 2.2; RR.2015.3 vom 30. April 2015 E. 2.1). Diese Bestimmung regelt den Schutz der Berechtigten (Geschädigte und gutgläubige Erwerber) und die Ausnahmen für die Herausgabe (Botschaft vom 29. März 1995 betreffend die Änderung des Rechtshilfegesetzes und des Bundesgesetzes zum Staatsvertrag mit den USA über gegenseitige Rechtshilfe in Strafsachen so- wie den Bundesbeschluss über einen Vorbehalt zum Europäischen Überein- kommen über die Rechtshilfe in Strafsachen; BBl 1995 III 1, 26). Darauf kann sich nur berufen und sich damit einer Herausgabe zur Einziehung oder Rück-</w:t>
      </w:r>
    </w:p>
    <w:p>
      <w:r>
        <w:t>- 9 -</w:t>
      </w:r>
    </w:p>
    <w:p>
      <w:r>
        <w:t>erstattung (einstweilen) widersetzen, wer die in Art. 74a Abs. 4 IRSG festge- legten Kriterien erfüllt. Dabei muss es sich beim Dritten um eine an der straf- baren Handlung nicht beteiligte Person handeln, deren Ansprüche durch den ersuchenden Staat nicht sichergestellt sind, welche glaubhaft macht, sie habe an diesen Gegenständen oder Vermögenswerten in der Schweiz oder, sofern sie ihren gewöhnlichen Aufenthalt in der Schweiz hat, im Ausland gut- gläubig Rechte erworben (Art. 74a Abs. 4 lit. c IRSG). Andere Dritte, welche diese Voraussetzungen nicht erfüllen, müssen ihre Ansprüche gegenüber den Gerichten des ersuchenden Staates geltend machen (siehe zum Gan- zen TPF 2014 113 E. 3.2.2 S. 119 m.w.H.).</w:t>
      </w:r>
    </w:p>
    <w:p>
      <w:r>
        <w:rPr>
          <w:b/>
        </w:rPr>
        <w:t>E. 3.3.2</w:t>
      </w:r>
    </w:p>
    <w:p>
      <w:r>
        <w:t>Mit den Dritten in Art. 74a IRSG eingeräumten Rechten muss – zur Durch- setzung ihrer Ansprüche – selbstredend die Legitimation zur Beschwerde einhergehen. Es handelt sich dabei allerdings nicht um eine allgemeine Be- schwerdelegitimation im Sinne von Art. 80h lit. b IRSG i.V.m. Art. 9a lit. b IRSV, da bei einer Hausdurchsuchung bzw. einer Beschlagnahme auch sol- che Dritte nach wie vor nicht im Sinne der eben angeführten Bestimmungen persönlich und direkt von diesen Rechtshilfemassnahmen betroffen sind. Vielmehr steht ihnen die Beschwerde gegen die Herausgabe offen, soweit sich ihr Rechtsmittel auf die Geltendmachung ihrer Rechte nach Art. 74a IRSG bezieht. Zur Geltendmachung anderer Rechtshilfehindernisse ist un- verändert lediglich diejenige Person berechtigt, welche sich der Hausdurch- suchung und damit der Zwangsmassnahme unterziehen musste (siehe hierzu TPF 2014 113 E. 3.2.2 S. 119 f.).</w:t>
      </w:r>
    </w:p>
    <w:p>
      <w:r>
        <w:rPr>
          <w:b/>
        </w:rPr>
        <w:t>E. 3.3.3</w:t>
      </w:r>
    </w:p>
    <w:p>
      <w:r>
        <w:t>Beim Beschwerdeführer 1 handelt es sich um den Beschuldigten bzw. um den mittlerweile rechtskräftig Verurteilten des im ersuchenden Staat geführ- ten Strafverfahrens (siehe Akten EZV, Nr. 8/1). Damit erfüllt er die Voraus- setzungen eines Ausnahmefalls nach Art. 74a Abs. 4 lit. c IRSG offensicht- lich nicht. Somit kann er zu seinen Gunsten auch gestützt auf diese Norm keine Beschwerdelegitimation ableiten. Auf seine Beschwerde ist daher nicht einzutreten.</w:t>
      </w:r>
    </w:p>
    <w:p>
      <w:r>
        <w:rPr>
          <w:b/>
        </w:rPr>
        <w:t>E. 3.3.4</w:t>
      </w:r>
    </w:p>
    <w:p>
      <w:r>
        <w:t>Bei der Beschwerdeführerin 2 handelt es sich um eine juristische Person und um die angebliche Eigentümerin der herauszugebenden Waffen. Weder im vorinstanzlichen Verfahren noch im Beschwerdeverfahren wurden diesbe- züglich Dokumente eingereicht, welche die angebliche Veräusserung der Waffen an die Beschwerdeführerin 2 belegen würden. Der Beschwerdefüh- rer 1 handelte im vorliegenden Verfahren für diese als Geschäftsführer. Ge- mäss dem eingereichten Auszug aus dem Firmenbuch der Republik Öster- reich handelt es sich beim Beschwerdeführer 1 um den Geschäftsführer und den einzigen Gesellschafter der Beschwerdeführerin 2 (RR.2020.110-111,</w:t>
      </w:r>
    </w:p>
    <w:p>
      <w:r>
        <w:t>- 10 -</w:t>
      </w:r>
    </w:p>
    <w:p>
      <w:r>
        <w:t>act. 17). Bei dieser Ausgangslage kann die Beschwerdeführerin 2 nicht als gutgläubige Erwerberin von der Einziehung unterliegenden Gegenständen gelten. Gemäss bundesgerichtlicher Rechtsprechung muss bei der Anwen- dung von Art. 74a Abs. 4 lit. c IRSG verlangt werden, dass es sich wenigs- tens um einen «Dritten» handelt und nicht um eine vom Beschuldigten vor- geschobene, nur formal selbstständige juristische Person, die vom Beschul- digten beherrscht wird, so dass dieser weiter die tatsächliche Verfügungs- macht über die deliktisch erlangten Vermögenswerte bzw. ihren Ersatzwert ausübt. In diesem Fall ist im Übrigen auch die Gutgläubigkeit der Gesell- schaft zu verneinen, die sich den bösen Glauben des Beschuldigten zurech- nen lassen muss (vgl. BGE 123 II 595 E. 6a S. 612; siehe auch TPF 2014 113 E. 3.5). Damit kann auch die Beschwerdeführerin 2 gestützt auf Art. 74a Abs. 4 lit. c IRSG zu ihren Gunsten keine Beschwerdelegitimation ableiten. Auf deren Beschwerde ist nicht einzutreten.</w:t>
      </w:r>
    </w:p>
    <w:p>
      <w:r>
        <w:rPr>
          <w:b/>
        </w:rPr>
        <w:t>E. 4</w:t>
      </w:r>
    </w:p>
    <w:p>
      <w:r>
        <w:t>Nach dem Gesagten fehlt es sowohl dem Beschwerdeführer 1 als auch der Beschwerdeführerin 2 an der notwendigen Beschwerdelegitimation. Auf de- ren Beschwerden ist nicht einzutreten.</w:t>
      </w:r>
    </w:p>
    <w:p>
      <w:r>
        <w:rPr>
          <w:b/>
        </w:rPr>
        <w:t>E. 5</w:t>
      </w:r>
    </w:p>
    <w:p>
      <w:r>
        <w:t>Der Beschwerdeführer 1 wurde durch die Beschwerdekammer in Bezug auf die für ihn selbst und für die Beschwerdeführerin 2 erhobene Beschwerde u.a. dazu aufgefordert, in der Schweiz ein Zustellungsdomizil zu bezeichnen, ansonsten weitere Zustellungen durch das Bundesstrafgericht grundsätzlich unterbleiben würden (RR.2020.110-111, act. 4). In der Folge ist der in der Schweiz domizilierte Fürsprecher Philipp Studer (nachfolgend «FS Studer») als Vertreter (nur) des Beschwerdeführers 1 aufgetreten. Am 25. Juni 2020 wurde der Beschwerdeführer 1 als Geschäftsführer der Beschwerdeführe- rin 2 auch am Telefon nochmals darauf hingewiesen, dass die Beschwerde- kammer auch für die Belange der Letztgenannten ein Zustellungsdomizil in der Schweiz benötige (RR.2020.110-111, act. 10). Am 9. Juli 2020 bat die Beschwerdekammer FS Studer unter Bezugnahme auf die lediglich per Te- lefax übermittelte Mitteilung des Beschwerdeführers 1 vom 2. Juli 2020 um Bestätigung, dass er auch für die Beschwerdeführerin 2 als Zustellungsdo- mizil in der Schweiz diene (RR.2020.125, act. 13). Dazu hielt FS Studer am 20. August 2020 fest, er erachte sich momentan nicht legitimiert, für die Be- schwerdeführerin 2 in der Schweiz als Zustellungsdomizil zu dienen (RR.2020.125, act. 18, S. 2). Die Zustellung dieses Entscheids an die Be- schwerdeführerin 2 erfolgt mangels Bezeichnung eines Zustellungsdomizils in der Schweiz und in Anwendung von Art. 9 IRSV zu den Akten.</w:t>
      </w:r>
    </w:p>
    <w:p>
      <w:r>
        <w:t>- 11 -</w:t>
      </w:r>
    </w:p>
    <w:p>
      <w:r>
        <w:rPr>
          <w:b/>
        </w:rPr>
        <w:t>E. 6</w:t>
      </w:r>
    </w:p>
    <w:p>
      <w:r>
        <w:t>Dem Verfahrensausgang entsprechend sind die Gerichtskosten den unter- liegenden Beschwerdeführern aufzuerlegen (Art. 63 Abs. 1 VwVG). Die Ge- richtsgebühr ist auf Fr. 5'000.–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(RR.2020.125, act. 2 und 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