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RR.2020.11 vom 21. Juli 2020</w:t>
      </w:r>
    </w:p>
    <w:p>
      <w:r>
        <w:t>Bundesstrafgericht, 2020-07-21, DE</w:t>
      </w:r>
    </w:p>
    <w:p>
      <w:r>
        <w:rPr>
          <w:b/>
        </w:rPr>
        <w:t xml:space="preserve">Quelle: </w:t>
      </w:r>
      <w:r>
        <w:t>https://mcp.opencaselaw.ch/entscheid/bstger_RR.2020.11</w:t>
      </w:r>
    </w:p>
    <w:p>
      <w:r>
        <w:t>FR: TPF RR.2020.11 du 21 juillet 2020</w:t>
      </w:r>
    </w:p>
    <w:p>
      <w:r>
        <w:t>IT: TPF RR.2020.11 del 21 luglio 2020</w:t>
      </w:r>
    </w:p>
    <w:p>
      <w:pPr>
        <w:pStyle w:val="Heading2"/>
      </w:pPr>
      <w:r>
        <w:t>Regeste</w:t>
      </w:r>
    </w:p>
    <w:p>
      <w:r>
        <w:t>Internationale Rechtshilfe in Strafsachen. Teilnahme am Verfahren und Akteneinsicht (Art. 80b IRSG).</w:t>
      </w:r>
    </w:p>
    <w:p>
      <w:pPr>
        <w:pStyle w:val="Heading2"/>
      </w:pPr>
      <w:r>
        <w:t>Erwägungen</w:t>
      </w:r>
    </w:p>
    <w:p>
      <w:r>
        <w:rPr>
          <w:b/>
        </w:rPr>
        <w:t>E. 1</w:t>
      </w:r>
    </w:p>
    <w:p>
      <w:r>
        <w:t>Soweit andere Gesetze oder internationale Vereinbarungen nichts anderes bestimmen, regeln das Bundesgesetz vom 20. März 1981 (Rechtshilfege- setz, IRSG; SR 351.1) und die Verordnung vom 24. Februar 1982 über in- ternationale Rechtshilfe in Strafsachen (Rechtshilfeverordnung, IRSV; SR 351.11) alle Verfahren der zwischenstaatlichen Zusammenarbeit in Strafsachen (Art. 1 Abs. 1 IRSG). Auf Beschwerdeverfahren in internationa- len Rechtshilfeangelegenheiten sind zudem die Bestimmungen des Bundes- gesetzes vom 20. Dezember 1968 über das Verwaltungsverfahren (Verwal- tungsverfahrensgesetz, VwVG; SR 172.021) anwendbar (Art. 39 Abs. 2 lit. b i.V.m. Art. 37 Abs. 2 lit. a Ziff. 1 StBOG), wenn das IRSG nichts anderes bestimmt (siehe Art. 12 Abs. 1 IRSG).</w:t>
      </w:r>
    </w:p>
    <w:p>
      <w:r>
        <w:t>- 5 -</w:t>
      </w:r>
    </w:p>
    <w:p>
      <w:r>
        <w:rPr>
          <w:b/>
        </w:rPr>
        <w:t>E. 2.1</w:t>
      </w:r>
    </w:p>
    <w:p>
      <w:r>
        <w:t>Die Verfügung der ausführenden Behörde, mit der das Rechtshilfeverfahren abgeschlossen wird, unterliegt zusammen mit den vorangehenden Zwi- schenverfügungen der Beschwerde an die Beschwerdekammer des Bun- desstrafgerichts (Art. 80e Abs. 1 IRSG), wobei die Beschwerdefrist 30 Tage beträgt (Art. 80k IRSG). Nach der Rechtsprechung ist der Entscheid, mit wel- chem die ausführende Behörde die Stellung einer Person als Partei im Rechtshilfeverfahren verneint, mit Bezug auf diese Person prozessual als Schlussverfügung zu behandeln (Entscheide des Bundesstrafgerichts RR.2019.12 vom 29. Mai 2019 E. 1.5; RR.2018.240 vom 12. Dezember 2018 E. 2.1; RR.2014.95 vom 23. Oktober 2014 E. 2.2.3). Zur Beschwerde ist da- bei grundsätzlich berechtigt, wer der Vorinstanz vorwirft, sie habe die Legiti- mation zu Unrecht verneint (BGE 128 II 211 E. 2.2 S. 216 f.; 122 II 130 E. 1).</w:t>
      </w:r>
    </w:p>
    <w:p>
      <w:r>
        <w:rPr>
          <w:b/>
        </w:rPr>
        <w:t>E. 2.2</w:t>
      </w:r>
    </w:p>
    <w:p>
      <w:r>
        <w:t>Mit der angefochtenen Verfügung verneint die Beschwerdegegnerin die Le- gitimation der Beschwerdeführerinnen und damit deren Parteistellung in ver- schiedenen Rechtshilfeverfahren. Die Beschwerdeführerinnen sind nach dem Gesagten (E. 2.1) legitimiert, sich gegen diese Entscheidung mit Be- schwerde zur Wehr zu setzen. Auf deren frist- und formgerecht eingereichte Beschwerde ist einzutreten.</w:t>
      </w:r>
    </w:p>
    <w:p>
      <w:r>
        <w:rPr>
          <w:b/>
        </w:rPr>
        <w:t>E. 3</w:t>
      </w:r>
    </w:p>
    <w:p>
      <w:r>
        <w:t>Die Beschwerdekammer ist nicht an die Begehren der Parteien gebunden (Art. 25 Abs. 6 IRSG). Sie prüft die bei ihr erhobenen Rügen grundsätzlich mit freier Kognition, befasst sich jedoch nur mit Tat- und Rechtsfragen, die Streitgegenstand der Beschwerde bilden (BGE 132 II 81 E. 1.4; 130 II 337 E. 1.4; Urteil des Bundesgerichts 1A.1/2009 vom 20. März 2009 E. 1.6; TPF 2011 97 E. 5).</w:t>
      </w:r>
    </w:p>
    <w:p>
      <w:r>
        <w:rPr>
          <w:b/>
        </w:rPr>
        <w:t>E. 4.1</w:t>
      </w:r>
    </w:p>
    <w:p>
      <w:r>
        <w:t>Personen, gegen die sich das ausländische Strafverfahren richtet, können Verfügungen nur anfechten, wenn eine Rechtshilfemassnahme sie persön- lich und direkt betrifft und sie ein schutzwürdiges Interesse an deren Aufhe- bung oder Änderung haben (Art. 21 Abs. 3 IRSG). Die Berechtigten können dementsprechend am Verfahren teilnehmen und Einsicht in die Akten neh- men, soweit dies für die Wahrung ihrer Interessen notwendig ist (Art. 80b Abs. 1 IRSG). Diese Berechtigung bzw. die sich daraus ergebende Partei- stellung im Rechtshilfeverfahren ist demzufolge keine umfassende (GLESS/SCHAFFNER, Basler Kommentar Internationales Strafrecht, 2015, Art. 21 IRSG N. 60), sondern muss auf die Beschwerdelegitimation nach Art. 80h lit. b IRSG abgestimmt werden (BGE 127 II 104 E. 4b;</w:t>
      </w:r>
    </w:p>
    <w:p>
      <w:r>
        <w:t>- 6 -</w:t>
      </w:r>
    </w:p>
    <w:p>
      <w:r>
        <w:t>TPF RR.2019.46 vom 5. September 2019 E. 5.2, zur Publikation vorgesehen m.w.H.; siehe auch GSTÖHL, Geheimnisschutz im Verfahren der internatio- nalen Rechtshilfe in Strafsachen, 2008, S. 271 ff.).</w:t>
      </w:r>
    </w:p>
    <w:p>
      <w:r>
        <w:rPr>
          <w:b/>
        </w:rPr>
        <w:t>E. 4.2.1</w:t>
      </w:r>
    </w:p>
    <w:p>
      <w:r>
        <w:t>Gemäss Art. 80h lit. b IRSG ist zur Beschwerdeführung berechtigt, wer per- sönlich und direkt von einer Rechtshilfemassnahme betroffen ist und ein schutzwürdiges Interesse an deren Aufhebung oder Änderung hat. Als per- sönlich und direkt betroffen im Sinne dieser Bestimmung gelten gemäss Art. 9a IRSV namentlich der Kontoinhaber bei der Erhebung von Kontoinfor- mationen (lit. a), der Eigentümer oder der Mieter bei Hausdurchsuchungen (lit. b) und der Halter bei Massnahmen betreffend Motorfahrzeuge (lit. c).</w:t>
      </w:r>
    </w:p>
    <w:p>
      <w:r>
        <w:rPr>
          <w:b/>
        </w:rPr>
        <w:t>E. 4.2.2</w:t>
      </w:r>
    </w:p>
    <w:p>
      <w:r>
        <w:t>Die Praxis des Bundesgerichts verlangt für die Anerkennung der Beschwer- delegitimation im Sinne von Art. 80h lit. b IRSG eine «spezifische Bezie- hungsnähe» des Rechtsuchenden zur angefochtenen Schlussverfügung. Eine bloss mittelbare Betroffenheit genügt hingegen nicht (BGE 137 IV 134 E. 5.2.1 S. 137 f. m.w.H.). Zu bejahen ist die Beschwerdebefugnis jeder na- türlichen oder juristischen Person, die von einer Rechtshilfemassnahme di- rekt berührt ist. Die Praxis bejaht insbesondere die Beschwerdelegitimation jener Person, gegen die unmittelbar eine Zwangsmassnahme angeordnet wurde. Für bloss indirekt Betroffene, insbesondere Personen, die zwar in den erhobenen Unterlagen erwähnt werden, aber nicht direkt von Zwangsmass- nahmen betroffen bzw. Inhaber von sichergestellten Dokumenten sind, ist die Beschwerdebefugnis grundsätzlich zu verneinen (BGE 137 IV 134 E. 5.2.2 m.w.H.; siehe auch BUSSMANN, Basler Kommentar Internationales Strafrecht, 2015, Art. 80h IRSG N. 25). Insofern ist an die Beschwerdebefug- nis bei Angelegenheiten der internationalen Rechtshilfe in Strafsachen grundsätzlich ein restriktiver Massstab anzulegen (BGE 137 IV 134 E. 6.4).</w:t>
      </w:r>
    </w:p>
    <w:p>
      <w:r>
        <w:t>In diesem Sinne bezieht sich Art. 9a lit. b IRSV auf Hausdurchsuchungen bzw. auf die Beschlagnahme von Dokumenten und Gegenständen. Dass diese Bestimmung grundsätzlich am unmittelbaren Besitz (tatsächliche Ver- fügungsgewalt) bzw. an der direkten Betroffenheit durch Zwangsmassnah- men anknüpft, bringt das Gesetz dadurch zum Ausdruck, dass bei Haus- durchsuchungen (neben dem Eigentümer der betroffenen Wohnung oder Liegenschaft) «der Mieter» als beschwerdelegitimiert bezeichnet wird (BGE 137 IV 134 E. 6.2 m.w.H.; vgl. zum Ganzen auch LUDWICZAK GLASSEY, Entraide judiciaire internationale en matière pénale, 2018, N. 650 f.).</w:t>
      </w:r>
    </w:p>
    <w:p>
      <w:r>
        <w:rPr>
          <w:b/>
        </w:rPr>
        <w:t>E. 4.2.3</w:t>
      </w:r>
    </w:p>
    <w:p>
      <w:r>
        <w:t>Die Beschlagnahme von Urkunden, die sich in den Händen von Dritten be- finden, kann ein von der Zwangsmassnahme nur indirekt Betroffener im</w:t>
      </w:r>
    </w:p>
    <w:p>
      <w:r>
        <w:t>- 7 -</w:t>
      </w:r>
    </w:p>
    <w:p>
      <w:r>
        <w:t>Rechtshilfeverfahren nicht selbst anfechten. Dies gilt auch dann, wenn die Urkunden Informationen zu Aktivitäten des indirekt Betroffenen enthalten. Der Verfasser von Dokumenten, die sich im Besitz eines Dritten befinden, ist durch die den Dritten betreffende Verpflichtung zur Edition nicht persönlich berührt. Dementsprechend hat das Bundesgericht auch entschieden, dass allein der Aufbewahrer und Besitzer (Lagerhalter) von beschlagnahmten Ge- schäftsunterlagen und (elektronischen Datenspeichern) beschwerdelegiti- miert sei und nicht deren (von der Beschlagnahme nur indirekt betroffener) Hinterleger bzw. zivilrechtlicher Eigentümer (BGE 137 IV 134 E. 5.2.3 m.w.H.; Urteile des Bundesgerichts 1C_460/2019 vom 17. September 2019 E. 2.1; 1C_287/2008 vom 12. Januar 2009 E. 2.2; LUDWICZAK GLASSEY, a.a.O., N. 652; siehe auch BUSSMANN, a.a.O., Art. 80h IRSG N. 47 f.).</w:t>
      </w:r>
    </w:p>
    <w:p>
      <w:r>
        <w:rPr>
          <w:b/>
        </w:rPr>
        <w:t>E. 4.2.4</w:t>
      </w:r>
    </w:p>
    <w:p>
      <w:r>
        <w:t>Diese Regeln gelten ausdrücklich nicht nur für physische Dokumente, son- dern auch für anlässlich einer Hausdurchsuchung sichergestellte elektroni- sche Daten (Urteil des Bundesgerichts 1C_287/2008 vom 12. Januar 2009 E. 2.2 [Festplatte]; Entscheide des Bundesstrafgerichts RR.2016.123 vom 3. März 2017 E. 2.2 [Server]; RR.2016.277 vom 7. Februar 2017 E. 1.5.2 [E-Mail- und andere Dateien]; RR.2013.160 vom 6. Februar 2014 E. 2.2.4 [Laptop bzw. USB-Stick]; LUDWICZAK GLASSEY, a.a.O., N. 653).</w:t>
      </w:r>
    </w:p>
    <w:p>
      <w:r>
        <w:rPr>
          <w:b/>
        </w:rPr>
        <w:t>E. 4.3</w:t>
      </w:r>
    </w:p>
    <w:p>
      <w:r>
        <w:t>Der eine Teil der vorliegend zur Diskussion stehenden Daten wurde durch die Beschwerdegegnerin am 1. März 2016 im Rahmen eines nationalen Strafverfahrens in den Räumlichkeiten der C. SA sichergestellt (vgl. hierzu das entsprechende Beschlagnahmeprotokoll vom 1. März 2016 [Akten BA SV.15.0775, pag. 10.204-0010 f.] sowie das diesbezügliche Verzeichnis der sichergestellten Gegenstände [Akten BA SV.15.0775, pag. 10.204-0012 f.] und den Bericht Vollzug Edition vom 23. März 2016 [Akten BA SV.15.0775, pag. 10.204-0001 ff.]). Die technischen Installationen wurden vor Ort be- schlagnahmt und versiegelt. In der Folge wurden die Daten forensisch gesi- chert und ausgewertet (vgl. hierzu den Nachtragsbericht vom 8. Juli 2016 [Akten BA SV.15.0775, pag. 10.204-0228 f.]). Der andere Teil der Daten wurde in den Räumlichkeiten der E. Sàrl sichergestellt (vgl. hierzu den Be- richt vom 8. Juli 2016 [Akten BA SV.15.0775, pag. 10.204-0182 ff.]).</w:t>
      </w:r>
    </w:p>
    <w:p>
      <w:r>
        <w:t>Nach Auswertung der aufgefundenen Daten der D. Ltd bei der C. SA (bzw. bei der E. Sàrl), der vorhandenen physischen Hardware und der virtuellen Serverumgebung, berichtete die Bundeskriminalpolizei am 22. Juni 2016 zu- sammenfassend, das Setup sei vergleichbar mit einem «offsite» Office, über welches sich die Benutzer über einen Fernzugriff verbinden, um darauf zu arbeiten (Akten BA SV.15.0775, pag. 10.203-0015). Vertragliche Grundla-</w:t>
      </w:r>
    </w:p>
    <w:p>
      <w:r>
        <w:t>- 8 -</w:t>
      </w:r>
    </w:p>
    <w:p>
      <w:r>
        <w:t>gen zur Bereitstellung der Infrastruktur bzw. zur Erbringung von Dienstleis- tungen waren dabei das Master Service Agreement zwischen der C. SA und der D. Ltd (Akten BA SV.15.0775, pag. 10.204-0014 ff.) sowie das Master Agreement zwischen Letzterer und der E. Sàrl (act. 1.7).</w:t>
      </w:r>
    </w:p>
    <w:p>
      <w:r>
        <w:rPr>
          <w:b/>
        </w:rPr>
        <w:t>E. 4.4</w:t>
      </w:r>
    </w:p>
    <w:p>
      <w:r>
        <w:t>Die Beschwerdeführerinnen machen zur Begründung ihrer Legitimation zu- sammengefasst geltend, dieser exklusive Fernzugriff habe ihnen – losgelöst vom unmittelbaren Besitz an den Servern – die direkte Verfügungsgewalt über die beschlagnahmten elektronischen Daten verschafft. Die Daten hät- ten sich in einem «unabhängig von den physischen Strukturen bestehenden, selbstständig von aussen betretbaren, virtuellen Datenraum» befunden. Auf diesen hätten ausschliesslich die Beschwerdeführerinnen über einen ortsun- gebundenen elektronischen Fernzugriff Zugang gehabt (act. 1, Rz. 41; act. 16, Rz. 7). Dieser Zugang sei durch die im Frühjahr 2016 erfolgten Zwangsmassnahmen unterbrochen worden. Schliesslich bringen die Be- schwerdeführerinnen vor, die relevanten Racks, in denen die betroffenen Server lagerten, seien durch die C. SA bzw. durch die E. Sàrl vermietet wor- den. Diese hätten damit die direkte Verfügungsmacht daran aufgegeben (siehe u.a. act. 1, Rz. 48).</w:t>
      </w:r>
    </w:p>
    <w:p>
      <w:r>
        <w:rPr>
          <w:b/>
        </w:rPr>
        <w:t>E. 4.5</w:t>
      </w:r>
    </w:p>
    <w:p>
      <w:r>
        <w:t>Der Argumentation der Beschwerdeführerinnen ist in erster Linie entgegen zu halten, dass die vorliegend zur Diskussion stehenden, allenfalls auf dem Rechtshilfeweg herauszugebenden Daten durch die Beschwerdegegnerin auf Datenträgern sichergestellt wurden, welche sich in den Räumlichkeiten der C. SA bzw. der E. Sàrl befunden haben. Die Speicherung von digitalen Daten erfolgt auf Datenspeichern (Hardware) wie z.B. Festplatten, DVD etc. Digitale Daten sind für sich selbst absolut unselbstständig. Ihre Aufbewah- rung bzw. ihr Erhalt ist zwingend von einem Datenträger oder Datenverar- beitungssystem abhängig. Für sich allein können sie nicht existieren (vgl. ECKERT, Digitale Daten als Wirtschaftsgut: digitale Daten als Sache, SJZ 112/2016, S. 245 ff., 246; HESS-ODONI, Die Herrschaftsrechte an Daten, Jus- letter vom 17. Mai 2004, N. 1; ferner WOLF/WIEGAND, Basler Kommentar,</w:t>
      </w:r>
    </w:p>
    <w:p>
      <w:r>
        <w:rPr>
          <w:b/>
        </w:rPr>
        <w:t>E. 6</w:t>
      </w:r>
    </w:p>
    <w:p>
      <w:r>
        <w:t>Bei diesem Ausgang des Verfahrens ist die mit Zwischenentscheid vom 23. Januar 2020 (RP.2020.3 und 4) erfolgte Anordnung des Instruktionsrich- ters aufzuheben.</w:t>
      </w:r>
    </w:p>
    <w:p>
      <w:r>
        <w:rPr>
          <w:b/>
        </w:rPr>
        <w:t>E. 7</w:t>
      </w:r>
    </w:p>
    <w:p>
      <w:r>
        <w:t>Dem Verfahrensausgang entsprechend sind die Gerichtskosten den unter- liegenden Beschwerdeführerinnen aufzuerlegen (Art. 63 Abs. 1 VwVG). Die Gerichtsgebühr ist auf Fr. 6'000.– festzusetzen (Art. 63 Abs. 5 VwVG i.V.m. Art. 73 StBOG sowie Art. 5 und 8 Abs. 3 lit. a des Reglements des Bun- desstrafgerichts vom 31. August 2010 über die Kosten, Gebühren und Ent- schädigungen in Bundesstrafverfahren [BStKR; SR 173.713.162]), unter An- rechnung des geleisteten Kostenvorschusses in gleicher Höhe (act. 3 und 6).</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