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RR.2020.104 vom 19. Juni 2020</w:t>
      </w:r>
    </w:p>
    <w:p>
      <w:r>
        <w:t>Bundesstrafgericht, 2020-06-19, DE</w:t>
      </w:r>
    </w:p>
    <w:p>
      <w:r>
        <w:rPr>
          <w:b/>
        </w:rPr>
        <w:t xml:space="preserve">Quelle: </w:t>
      </w:r>
      <w:r>
        <w:t>https://mcp.opencaselaw.ch/entscheid/bstger_RR.2020.104</w:t>
      </w:r>
    </w:p>
    <w:p>
      <w:r>
        <w:t>FR: TPF RR.2020.104 du 19 juin 2020</w:t>
      </w:r>
    </w:p>
    <w:p>
      <w:r>
        <w:t>IT: TPF RR.2020.104 del 19 giugno 2020</w:t>
      </w:r>
    </w:p>
    <w:p>
      <w:pPr>
        <w:pStyle w:val="Heading2"/>
      </w:pPr>
      <w:r>
        <w:t>Regeste</w:t>
      </w:r>
    </w:p>
    <w:p>
      <w:r>
        <w:t>Auslieferung an die Republik Kosovo. Auslieferungsentscheid (Art. 55 IRSG).</w:t>
      </w:r>
    </w:p>
    <w:p>
      <w:pPr>
        <w:pStyle w:val="Heading2"/>
      </w:pPr>
      <w:r>
        <w:t>Erwägungen</w:t>
      </w:r>
    </w:p>
    <w:p>
      <w:r>
        <w:rPr>
          <w:b/>
        </w:rPr>
        <w:t>E. 1.1</w:t>
      </w:r>
    </w:p>
    <w:p>
      <w:r>
        <w:t>Bis heute ist die Republik Kosovo weder Vertragsstaat des Europäischen Auslieferungsübereinkommens – sie kann es aufgrund ihres völkerrechtli- chen Status auch nicht sein – noch wurde mit der Schweiz ein bilateraler Staatsvertrag bezüglich Auslieferungsverfahren abgeschlossen. Mangels staatsvertraglicher Regelung gelangen daher vorliegend die Vorschriften des 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 S. 65 f.).</w:t>
      </w:r>
    </w:p>
    <w:p>
      <w:r>
        <w:rPr>
          <w:b/>
        </w:rPr>
        <w:t>E. 1.2</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La coopération judiciaire internationale en matière pénale,</w:t>
      </w:r>
    </w:p>
    <w:p>
      <w:r>
        <w:rPr>
          <w:b/>
        </w:rPr>
        <w:t>E. 5</w:t>
      </w:r>
    </w:p>
    <w:p>
      <w:r>
        <w:t>Juni 2014, E. 6.2; GARRÉ, Basler Kommentar Internationales Strafrecht, 2015, Art. 37 IRSG N. 10; ZIMMERMANN, a.a.O., N. 681–693).</w:t>
      </w:r>
    </w:p>
    <w:p>
      <w:r>
        <w:t>- 6 -</w:t>
      </w:r>
    </w:p>
    <w:p>
      <w:r>
        <w:t>3.3 Die Republik Kosovo ist kein Mitgliedstaat des Europarates und ist auch kei- nem hier massgeblichen Menschenrechtsinstrument beigetreten (nament- lich nicht dem UNO-Pakt II, SR 0.103.2, oder dem Übereinkommen vom</w:t>
      </w:r>
    </w:p>
    <w:p>
      <w:r>
        <w:rPr>
          <w:b/>
        </w:rPr>
        <w:t>E. 10</w:t>
      </w:r>
    </w:p>
    <w:p>
      <w:r>
        <w:t>Dezember 1984 gegen Folter und andere grausame, unmenschliche oder erniedrigende Behandlung oder Strafe [UNCAT; SR 0.105]). Gestützt auf ein Abkommen vom 23. August 2004 zwischen dem Europarat und der United Nations Interim Administration Mission in Kosovo (UNMIK) unter- nahm das Europäische Komitee gegen Folter im Jahr 2007 einen Besuch und führte seine Tätigkeit auf gleicher Grundlage auch nach der Unabhän- gigkeit der Republik Kosovo mit Besuchen in den Jahren 2010 und 2015 weiter. Das Komitee wurde geschaffen durch das Europäische Übereinkom- men zur Verhütung von Folter (SR 0.106).</w:t>
      </w:r>
    </w:p>
    <w:p>
      <w:r>
        <w:t>Die Praxis der Beschwerdekammer hat Auslieferungen an die Republik Ko- sovo regelmässig zugelassen, zumeist unter Garantien (Entscheid des Bun- desstrafgerichts RR.2017.278 vom 21. Dezember 2017 E. 5.4). Auch vorlie- gend hat die Republik Kosovo verbindlich zugesichert, namentlich Art. 10 (Garantien im Strafvollzug) des UNO-Paktes II sowie Art. 3 EMRK einzuhal- ten. Die Beschwerdekammer verstärkte mit dem Entscheid RR.2017.278 vom 21. Dezember 2017 die Wirksamkeit von Garantien bei Auslieferungen in die Republik Kosovo, was auch vorliegend zugesichert ist: der diplomati- schen Vertretung der Schweiz ist von sich aus der (neue) Ort der Inhaftierung bekanntzugeben; sie hat das Recht zum jederzeitigen und unangemeldeten Besuch; der Ausgelieferte hat zudem das Recht, mit seinem Verteidiger un- eingeschränkt und unbewacht zu verkehren; schliesslich ist auch den Ange- hörigen das Besuchsrecht zu garantieren. Dafür war massgeblich, dass eine verbindliche vertragliche Einbettung der Republik Kosovo in Mechanismen wie Berichterstattungen und Beschwerdeverfahren (z.B. des UNO-Paktes II) von multilateralen Übereinkommen fehlte und gleichzeitig in den letzten Jah- ren namentlich das Europäische Komitee gegen Folter keine genügende Verbesserung der menschenrechtlichen Situation im kosovarischen Gefäng- nissystem feststellte (RR.2017.278 E. 6.2 und 5.5).</w:t>
      </w:r>
    </w:p>
    <w:p>
      <w:r>
        <w:t>3.4 Zwischenzeitlich ist das Beobachtungsmandat der EULEX bis Juni 2020 ver- längert worden. Es gibt keinen neuen Bericht zu einem Besuch des Europä- ischen Komitees gegen Folter in der Republik Kosovo. Im Rahmen des Bei- trittsprozesses zur EU erschien am 29. Mai 2019 der «Kosovo 2019 Report» der Europäischen Kommission (SWD (2019) 216 final). Die Schweiz ist, an- ders als beim Europäischen Komitee gegen Folter, kein Mitglied der EU. Zum Gerichtswesen und zu den Menschenrechten hielt das Fazit des Reports fest, Kosovo verfüge über gewisse Vorbereitungen und befinde sich in einem frühen Stadium zur Anwendung des aquis und der Europäischen Standards</w:t>
      </w:r>
    </w:p>
    <w:p>
      <w:r>
        <w:t>- 7 -</w:t>
      </w:r>
    </w:p>
    <w:p>
      <w:r>
        <w:t>in diesem Gebiet (S. 14). Die Situation zur Prävention von Folter und Miss- handlungen sei im Grossen und Ganzen zufriedenstellend. Es bestünden sodann stetige Bemühungen, die Empfehlungen im letzten Bericht des Eu- ropäischen Komitees gegen Folter umzusetzen (S. 24). Das Gefängnissys- tem beachte weiterhin die «UN Standard Minimum Rules for the Treatment of Prisoners», wie auch die Europäischen Strafvollzugsgrundsätze (Euro- pean Prison Rules). Die Situation in den Gefängnissen zwischen den ver- schiedenen Anstalten zeige ein stark uneinheitliches Bild. Nach der Eröff- nung eines neuen Gefängnisses in Pristina seien nun mehr Gefangene in zureichenden Anstalten untergebracht. Pläne, alte Gefängnisse zu schlies- sen, seien bisher nicht entstanden. Überbelegung sei im Allgemeinen kein Problem. Im Bereich der Personalausstattung habe es Fortschritt gegeben, wie auch bezüglich Gesundheitsversorgung sowie der Gefängnisaufsicht (S. 25).</w:t>
      </w:r>
    </w:p>
    <w:p>
      <w:r>
        <w:t>3.5 Die stetigen Bemühungen zur Verbesserung des Strafvollzugs in der Repub- lik Kosovo zeigen Fortschritte, aber auch, dass die im letzten verfügbaren Bericht des Europäischen Komitees gegen Folter genannten Mängel noch nicht gelöst sind. Ein EMRK-konformer Strafvollzug ist in der Republik Ko- sovo danach nicht ausgeschlossen. Der Beschwerdeführer bringt dagegen gut sechs Jahre nach seiner Tat nur Hörensagen, marginal belegte Anekdo- ten oder Mutmassungen vor. Der Umstand, dass sein Onkel z.B. eine Füh- rungsposition im Drogendezernat habe, könnte ihm genauso gut nützen wie schaden. Der Beschwerdeführer wurde für ein gemeinrechtliches und kein politisches Delikt verurteilt und er gehört auch keiner im ersuchenden Staat besonders gefährdeten Personengruppe an. Er hat weder glaubhaft ge- macht noch ist es ersichtlich, dass er im ersuchenden Staat einer besonde- ren Gefährdung ausgesetzt ist – geschweige denn einer, die auch mit wirk- samen Garantien nicht behoben würde. Es kann mit genügender Sicherheit davon ausgegangen werden, dass die Republik Kosovo sich an die wirksam ausgestalteten Garantien hält und damit auch ihrer Schutzpflicht im Gefäng- nis nachkommt. Die Auslieferung des Beschwerdeführers an die Republik Kosovo steht, wie vorliegend ausgestaltet, in Einklang mit den menschen- rechtlichen Verpflichtungen der Schweiz. 3.6 Das BJ wird in enger Zusammenarbeit mit dem Departement für auswärtige Angelegenheiten EDA sicherzustellen haben, dass die schweizerische dip- lomatische Vertretung die Einhaltung der Garantien überwacht (vgl. BGE 134 IV 156 E. 6.16; 123 II 511 E. 7c am Schluss S. 525; Urteil des Bundesgerichts 1A.4/2005 vom 28. Februar 2005 E. 4.6 nicht publ. in BGE 131 II 235; Entscheid des Bundesstrafgerichts RR.2019.222 vom 9. Oktober 2019 E. 5.2).</w:t>
      </w:r>
    </w:p>
    <w:p>
      <w:r>
        <w:t>- 8 -</w:t>
      </w:r>
    </w:p>
    <w:p>
      <w:r>
        <w:t>4.</w:t>
      </w:r>
    </w:p>
    <w:p>
      <w:r>
        <w:t>4.1 Der Beschwerdeführer macht weiter geltend, eine Auslieferung verletze sein Recht auf Achtung des Privat- und Familienlebens (Art. 8 EMRK). Er ist mit einer Schweizerin verheiratet. Am 1. April 2019 ist die gemeinsame Tochter geboren worden. Sie würden im gemeinsamen Haushalt in Z. wohnen. Der Beschwerdeführer verfüge über die Aufenthaltsbewilligung B und wohne seit dem Jahr 2016 in der Schweiz. Zurzeit sei er arbeitslos, aber beim RAV ge- meldet und auf Stellensuche. Im Gefängnis im Kosovo würde sich der Kon- takt auf Briefe und Telefongespräche beschränken. Die Tochter sei jedoch als einjähriges Kleinkind auf direkten Kontakt mit ihren Bezugspersonen an- gewiesen. Die Tochter sei für Telefongespräche viel zu klein. Die Situation mit dem Coronavirus mache Besuche unvorhersehbar. Bei einer Ausliefe- rung würden die Leistungen der Arbeitslosenversicherung eingestellt und die Mutter müsste alleine für sich und ihr Kleinkind aufkommen. Damit seien die Umstände erfüllt, in welchen das Familienleben einer Auslieferung entge- genstehe (act. 1 S. 9). 4.2</w:t>
      </w:r>
    </w:p>
    <w:p>
      <w:r>
        <w:t>4.2.1 Artikel 13 Absatz 1 BV gewährleistet jeder Person einen grundrechtlichen Anspruch auf Achtung ihres Privat- und Familienlebens. Auch Artikel 8 EMRK schützt einen solchen menschenrechtlichen Anspruch (Ziff. 1). Eine Behörde darf in die Ausübung dieses Rechts nur eingreifen, soweit der Ein- griff gesetzlich vorgesehen und in einer demokratischen Gesellschaft not- wendig ist für die nationale oder öffentliche Sicherheit, für das wirtschaftliche Wohl des Landes, zur Aufrechterhaltung der Ordnung, zur Verhütung von Straftaten, zum Schutz der Gesundheit oder der Moral oder zum Schutz der Rechte und Freiheiten anderer (Ziff. 2).</w:t>
      </w:r>
    </w:p>
    <w:p>
      <w:r>
        <w:t>Der Europäische Gerichtshof für Menschenrechte (EGMR) hat mehrfach ent- schieden, dass die faktische Verunmöglichung von Gefangenenbesuchen naher Familienangehöriger zu einer Verletzung von Artikel 8 EMRK führen kann. Auch das Bundesgericht betont in seiner Rechtsprechung (zu Art. 13 Abs. 1 BV und Art. 8 EMRK) die hohe Bedeutung des grundrechtlichen An- spruches von Gefangenen auf ausreichende Kontakte mit ihren engsten An- gehörigen (vgl. BGE 143 I 241 E. 3–4 S. 244 ff.; 143 I 437 E. 4 S. 446–448). Der betreffende grundrechtliche Schutz gilt grundsätzlich auch für ausliefe- rungsrechtlich Verfolgte und im Rahmen der Anwendbarkeit des EAUe (BGE 129 II 100 E. 3.5 S. 105; 123 II 279 E. 2d S. 284; Entscheid des Bun- desstrafgerichts RR.2019.191 vom 22. April 2020 E. 2.2.–2.3; ZIMMERMANN, a.a.O., N. 219; zum Ganzen Urteil des Bundesgerichts 1C_214/2019 vom 5. Juni 2019 E. 2.8 mit Nachweisen zur Rechtsprechung des EGMR).</w:t>
      </w:r>
    </w:p>
    <w:p>
      <w:r>
        <w:t>- 9 -</w:t>
      </w:r>
    </w:p>
    <w:p>
      <w:r>
        <w:t>4.2.2 Macht ein von einem Auslieferungsersuchen Betroffener geltend, der dro- hende Strafvollzug im ersuchenden Staat verletze seinen grundrechtlichen Anspruch auf Gefängnisbesuche durch seine engsten Familienangehörigen, so hat das Rechtshilfegericht nach der einschlägigen Praxis des Bundesge- richtes eine sorgfältige Rechtsgüterabwägung vorzunehmen: Dabei ist einer- seits der persönlichen Situation und Interessenlage des Verfolgten und sei- ner Angehörigen im konkreten Einzelfall Rechnung zu tragen, und anderseits dem völkerrechtlichen Anspruch des ersuchenden Staates auf Auslieferung bzw. internationale Rechtshilfe beim Vollzug seiner rechtskräftigen Strafur- teile (BGE 123 II 279 E. 2d S. 284; 120 Ib 120 E. 3d S. 128; 117 Ib 210 E. 3b/cc S. 215 f.; Urteil des Bundesgerichts 1A.225/2003 vom 25. Novem- ber 2003 E. 4). Das Rechtshilfegericht hat dabei insbesondere der Schwere des Tatvorwurfes Rechnung zu tragen, welcher Grundlage des Ausliefe- rungsersuchens bildet (BGE 120 Ib 120 E. 3d S. 128; Urteil des Bundesge- richts 1A.225/2003 E. 4). Zu berücksichtigen ist auch, ob der Verfolgte in sein Heimatland oder in ein ersuchendes Drittland ausgeliefert werden soll, und wie weit entfernt sich das Untersuchungs- bzw. Vollzugsgefängnis vom Auf- enthaltsort der engsten Familienangehörigen des Verfolgten befindet (vgl. Urteile des Bundesgerichts 1A.265/2003 vom 29. Januar 2004 E. 3.2; 1A.225/2003 E. 4; zum Ganzen Urteil des Bundesgerichts 1C_214/2019 vom 5. Juni 2019 E. 2.7; SJ 2016 I 187 Übersicht Rechtsprechung).</w:t>
      </w:r>
    </w:p>
    <w:p>
      <w:r>
        <w:t>4.2.3 Das Bundesgericht hat in einem Fall eines deutschen Ersuchens die Auslie- ferung zur Vollstreckung einer Reststrafe von 473 Tagen wegen Hehlerei verweigert. Der Verfolgte war Vater von zwei in der Schweiz lebenden min- derjährigen Kindern; seine Lebensgefährtin war mit einem dritten Kind schwanger und gesundheitlich stark angeschlagen. Anstelle einer Ausliefe- rung verfügte das Bundesgericht dort – ausnahmsweise sogar ohne förmli- ches deutsches Gesuch um Strafübernahme – die stellvertretende Strafvoll- streckung in der Schweiz (vgl. BGE 122 II 485, nicht amtl. publizierte E. 3e und E. 4; s.a. BGE 129 II 100 E. 3.5 S. 105; Entscheid des Bundesstrafge- richts RR.2019.191 vom 22. April 2020 E. 2.3.1; HEIMGARTNER, Ausliefe- rungsrecht, Diss. ZH 2002, S. 161).</w:t>
      </w:r>
    </w:p>
    <w:p>
      <w:r>
        <w:t>Das Bundesstrafgericht bezeichnete im Entscheid RR.2016.311 vom 30. Ja- nuar 2017 eine Auslieferung zwecks Vollzugs einer Freiheitsstrafe von drei Jahren wegen Raubes (Deliktsbetrag Fr. 1‘480.--) gegen eine Mutter eines ca. 15 Monate alten Kleinkindes als «zu diesem Zeitpunkt menschenrechts- widrig». Wie ein KESB-Bericht feststellte, war die Mutter die Hauptbezugs- person des Kindes. Gegen den Vater liefen in der Schweiz zwei Strafverfah- ren wegen Gewaltdelikten, was seine Betreuungsmöglichkeiten in Frage stellte. Das Kleinkind war in erhöhtem Ausmass auf die Beziehung zur Mutter angewiesen. Die Auslieferung nach Mazedonien, der Heimat der Mutter,</w:t>
      </w:r>
    </w:p>
    <w:p>
      <w:r>
        <w:t>- 10 -</w:t>
      </w:r>
    </w:p>
    <w:p>
      <w:r>
        <w:t>würde also nicht nur in eine kontinuierliche und stabile Bindung des Kindes zu seiner wichtigsten Bezugsperson eingreifen, sondern sie verunmöglichen. Das Bundesstrafgericht bewilligte die Auslieferung unter der diplomatischen Garantie, dass die Mutter ihren Sohn im Strafvollzug unter für das Kind ver- tretbaren Umständen bei sich haben kann (E. 7.3, 7.4; kein Weiterzug). Im Entscheid des Bundesstrafgerichts TPF RR.2019.191 vom 22. April 2020 ging es um die Auslieferung einer Mutter nach Portugal (wo sie aufgewach- sen war). Portugal ersuchte die Auslieferung zur Strafverfolgung wegen be- waffneten Raubes. Sie habe am 1. März 2007 (unter anderem) Parfums aus einem Warenhaus gestohlen, mit einem Deliktsbetrag von rund EUR 900.--. Der von der Mutter geschiedene Vater der beiden Jüngsten nahm sein Be- suchsrecht unregelmässig wahr und delegierte die Erziehung an die Mutter. Die jüngere Tochter brauchte Struktur; der Kontakt zur Mutter war ausseror- dentlich eng («fusionelle»). Trennungen schufen ihr Unsicherheit und Un- ruhe. Der Sohn hatte Trisomie 21 und wohnte in einem Heim. Er sah v.a. seine Mutter jedes zweite Wochenende und verbrachte die Ferien bei den Eltern. Die ältere Tochter hatte als Elternfigur nur die Mutter. Sie hatte be- deutende schulische Schwierigkeiten, benötigte Spezialunterricht und eine Betreuung für ihre Verhaltensschwierigkeiten. Der staatliche Kindesschutz begleitete die drei Kinder seit dem Jahr 2011. Die Mutter selbst hatte eine Beistandschaft erhalten. Aus Berichten dieser Behörden ergab sich, dass die Mutter kooperierte und dass gewisse Fortschritte erzielt wurden. Gemäss amtlicher Feststellung würde die Trennung von der Mutter die Schwierigkei- ten ihrer drei Kinder vervielfachen. Trotz einer gewissen Fragilität sei sie es, die ihnen Orientierung gebe. Sie habe in der Praxis auch die Rolle des Vaters erfüllt. In dieser aussergewöhnlichen und dokumentierten Situation hob das Bundesstrafgericht den Auslieferungsentscheid des BJ auf (E. 2.5–2.7; kein Weiterzug). 4.3 Vorliegend überfiel der Beschwerdeführer als Teil einer bewaffneten Gruppe im Jahr 2013 eine Tankstelle in Peja (Republik Kosovo). Dafür verurteilte ihn das Grundgericht in Peja am 24. April 2014 wegen Raubes zu einer Gefäng- nisstrafe von drei Jahren und zehn Tagen. Bis heute hat der Beschwerde- führer davon zwei Jahre und acht Monate nicht verbüsst. Bei einem damali- gen sofortigen Strafantritt wäre er heute frei, seinen Vaterpflichten nachzu- kommen. Stattdessen setzte sich der Beschwerdeführer in Kenntnis seiner Verurteilung nach Deutschland ab. In den vorliegenden Umständen ist die Beeinträchtigung des Familienlebens hinzunehmen. Sie beruht auf dem ko- sovarischen Strafgesetz und der Verurteilung wegen eines Gewaltdeliktes. Die Auslieferung des Beschwerdeführers beeinträchtigt das Familienleben bei weitem nicht so schwer wie in den obigen aussergewöhnlichen Fällen (vgl. Erwägung 4.2.3). Das Kleinkind ist in guter Obhut der Mutter. Indem das</w:t>
      </w:r>
    </w:p>
    <w:p>
      <w:r>
        <w:t>- 11 -</w:t>
      </w:r>
    </w:p>
    <w:p>
      <w:r>
        <w:t>BJ ihn, entgegen der Regel (vgl. BGE 136 IV 20 E. 2.2), aus der Ausliefe- rungshaft entliess, ermöglichte es den persönlichen Kontakt zur Familie wäh- rend des Auslieferungsverfahrens. Der Beschwerdeführer hofft, aus dem ko- sovarischen Strafvollzug bereits nach sechs Monaten entlassen zu werden (act. 5.9 S. 6). Er hat es in der Hand, sich seiner Vergangenheit zu stellen und mittels guter Führung auf die Resozialisierung sowie baldige Wiederver- einigung mit der Kernfamilie hinzustreben. Die Garantien der Republik Kosovo (vgl. obige Erwägung 3.3) gewährleisten, dass die engere und weitere Familie, nebst telefonischen und schriftlichen Kontakten, den Beschwerdeführer im Gefängnis auch besuchen können. Er erwähnt Familienangehörige in der Republik Kosovo. Solche erleichtern den Aufenthalt der Mutter für Besuche mit dem Kleinkind. Zusätzliche Belastun- gen für Familienangehörige führen grundsätzlich nicht zu einem Anspruch straffällig gewordener ausländischer Staatsangehöriger auf Strafverfolgung und Strafvollzug in der Schweiz (Urteil des Bundesgerichts 1A.225/2003 vom 25. November 2003 E. 4). Ein Antrag der Republik Kosovo für den Strafvoll- zug in der Schweiz fehlt. Das Coronavirus ist sodann nicht ausschlagge- bend; es ist auch in der Schweiz unvorhersehbar und könnte hier genauso gut Gefängnisbesuche vereiteln. Der Gefängnisaufenthalt beeinträchtigt in der Schweiz wie in der Republik Kosovo die Vermittlungsfähigkeit des Be- schwerdeführers gemäss Art. 15 Abs. 1 des Bundesgesetzes vom 25. Juni 1982 über die obligatorische Arbeitslosenversicherung und die Insolvenzent- schädigung (Arbeitslosenversicherungsgesetz, AVIG; SR 837.0) und damit mangels Leistungen der Arbeitslosenversicherung die finanzielle Situation von Mutter und Kind. 4.4 Zusammenfassend wiegt das Interesse an der Auslieferung und Vollstre- ckung der gesetzmässigen Strafe klar schwerer. Das Privat- und Familienle- ben (Art. 8 EMRK) steht der Auslieferung des Beschwerdeführers somit nicht entgegen.</w:t>
      </w:r>
    </w:p>
    <w:p>
      <w:r>
        <w:t>5. Insgesamt erwiesen sich die erhobenen Rügen als unbegründet. Der Auslie- ferung stehen auch keine weiteren Gründe entgegen. Damit ist die Be- schwerde gegen den Auslieferungsentscheid des BJ vom 27. März 2020 ab- zuweisen.</w:t>
      </w:r>
    </w:p>
    <w:p>
      <w:r>
        <w:t>6. Bei diesem Ausgang des Verfahrens sind die Gerichtskosten dem Be- schwerdeführer aufzuerlegen (vgl. Art. 63 Abs. 1 VwVG). Die Gerichtsgebühr ist auf Fr. 2'000.-- festzusetzen (vgl. Art. 63 Abs. 5 VwVG i.V.m. Art. 73 StBOG sowie Art. 5 und 8 Abs. 3 lit. a des Reglements des Bundesstraf-</w:t>
      </w:r>
    </w:p>
    <w:p>
      <w:r>
        <w:t>- 12 -</w:t>
      </w:r>
    </w:p>
    <w:p>
      <w:r>
        <w:t>gerichts vom 31. August 2010 über die Kosten, Gebühren und Entschädi- gungen in Bundesstrafverfahren [BStKR; SR 173.713.162]); der geleistete Kostenvorschuss von Fr. 2'000.-- (act. 6) ist daran anzurechnen.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