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RR.2020.102 vom 19. Mai 2020</w:t>
      </w:r>
    </w:p>
    <w:p>
      <w:r>
        <w:t>Bundesstrafgericht, 2020-05-19, FR</w:t>
      </w:r>
    </w:p>
    <w:p>
      <w:r>
        <w:rPr>
          <w:b/>
        </w:rPr>
        <w:t xml:space="preserve">Quelle: </w:t>
      </w:r>
      <w:r>
        <w:t>https://mcp.opencaselaw.ch/entscheid/bstger_RR.2020.102</w:t>
      </w:r>
    </w:p>
    <w:p>
      <w:r>
        <w:t>FR: TPF RR.2020.102 du 19 mai 2020</w:t>
      </w:r>
    </w:p>
    <w:p>
      <w:r>
        <w:t>IT: TPF RR.2020.102 del 19 maggio 2020</w:t>
      </w:r>
    </w:p>
    <w:p>
      <w:pPr>
        <w:pStyle w:val="Heading2"/>
      </w:pPr>
      <w:r>
        <w:t>Regeste</w:t>
      </w:r>
    </w:p>
    <w:p>
      <w:r>
        <w:t>Extradition à la Serbie. Décision d'extradition (art. 55 EIMP). Indemnisation (art. 15 EIMP). Assistance judiciaire gratuite (art. 65 PA). Requête accessoire de mise en liberté (art. 50 al. 3 EIMP).</w:t>
      </w:r>
    </w:p>
    <w:p>
      <w:pPr>
        <w:pStyle w:val="Heading2"/>
      </w:pPr>
      <w:r>
        <w:t>Erwägungen</w:t>
      </w:r>
    </w:p>
    <w:p>
      <w:r>
        <w:rPr>
          <w:b/>
        </w:rPr>
        <w:t>E. 1.1</w:t>
      </w:r>
    </w:p>
    <w:p>
      <w:r>
        <w:t>L’extradition entre la Suisse et la Serbie est régie par la Convention européenne d’extradition du 13 décembre 1957 (CEExtr; RS 0.353.1), entrée en vigueur le 20 mars 1967 pour la Suisse et le 29 décembre 2002 pour la Serbie, par le Protocole additionnel à la CEExtr (PA I CEExtr; RS 0.353.11) conclu le 15 octobre 1975, entré en vigueur le 9 juin 1985 pour la Suisse et le 21 septembre 2003 pour la Serbie, par le deuxième Protocole additionnel à la CEExtr (PA II CEExtr; RS 0.353.12) conclu le 17 mars 1978, entré en vigueur le 9 juin 1985 pour la Suisse et le 21 septembre 2003 pour la Serbie, par le troisième Protocole additionnel à la CEExtr du 10 novembre 2010, entré en vigueur le 1er novembre 2016 pour la Suisse et le 1er mai 2012 pour la Serbie (PA III CEExtr; RS 0.353.13), ainsi que par le quatrième Protocole additionnel à la CEExtr du 20 septembre 2012 (PA IV CEExtr; RS 0.353.14), entré en vigueur le 1er novembre 2016 pour la Suisse et le 1er juin 2014 pour la Serbie. Pour le surplus, la loi fédérale sur l’entraide internationale en matière pénale (EIMP; RS 351.1) et son ordonnance d’exécution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(ATF 140 IV</w:t>
      </w:r>
    </w:p>
    <w:p>
      <w:r>
        <w:t>- 4 -</w:t>
      </w:r>
    </w:p>
    <w:p>
      <w:r>
        <w:t>123 consid. 2; 137 IV 33 consid. 2.2.2; 122 II 140 consid. 2 et les arrêts cités). Le respect des droits fondamentaux est réservé (ATF 135 IV 212 consid. 2.3; 123 II 595 consid. 7c).</w:t>
      </w:r>
    </w:p>
    <w:p>
      <w:r>
        <w:rPr>
          <w:b/>
        </w:rPr>
        <w:t>E. 1.2</w:t>
      </w:r>
    </w:p>
    <w:p>
      <w:r>
        <w:t>La décision par laquelle l’OFJ accorde l’extradition (art. 55 al. 1 EIMP) peut faire l’objet d’un recours devant la Cour des plaintes du Tribunal pénal fédéral (art. 55 al. 3 et 25 al. 1 EIMP). La personne extradée a qualité pour recourir au sens de l’art. 21 al. 3 EIMP (ATF 122 II 373 consid. 1b; 118 Ib 269 consid. 2d). Adressé dans les trente jours à compter de la notification de la décision d’extradition, le recours est formellement recevable.</w:t>
      </w:r>
    </w:p>
    <w:p>
      <w:r>
        <w:rPr>
          <w:b/>
        </w:rPr>
        <w:t>E. 2</w:t>
      </w:r>
    </w:p>
    <w:p>
      <w:r>
        <w:t>Dans un premier grief, le recourant invoque une violation de l’art. 51 al. 1 EIMP. Il soutient que l’extrait de casier judiciaire qu’il a requis et obtenu auprès du Tribunal de première instance de Bujanovac du 25 novembre 2019 indique précisément qu’il ne fait l’objet ni d’une enquête judiciaire, ni d’un acte d’accusation pour actes criminels relevant de la compétence de ces tribunaux. Ainsi, il ne ferait l’objet d’aucune condamnation, ou la prescription de l’exécution de la peine serait acquise. Il s’ensuit que son extradition serait manifestement inadmissible (act. 1, p. 2-3).</w:t>
      </w:r>
    </w:p>
    <w:p>
      <w:r>
        <w:rPr>
          <w:b/>
        </w:rPr>
        <w:t>E. 2.1</w:t>
      </w:r>
    </w:p>
    <w:p>
      <w:r>
        <w:t>Cette argumentation – déjà soulevée par le recourant dans le cadre du recours déposé à l’encontre du mandat d’arrêt extraditionnel – a été examinée et rejetée par la Cour de céans dans son arrêt du 11 février 2020, auquel il peut être intégralement renvoyé (arrêt RH.2020.1 consid. 2.2). L’on relève en outre que l’art. 51 EIMP se réfère à la procédure de détention extraditionnelle et non à l’extradition en tant que telle.</w:t>
      </w:r>
    </w:p>
    <w:p>
      <w:r>
        <w:rPr>
          <w:b/>
        </w:rPr>
        <w:t>E. 3</w:t>
      </w:r>
    </w:p>
    <w:p>
      <w:r>
        <w:t>Dans un second grief, le recourant se prévaut d’une violation de l’art. 2 ch. 1 de la CEExtr et d’une violation de l’art. 35 al. 1 EIMP, la condition de la double incrimination n’étant selon lui pas réalisée. Les faits lui étant reprochés relèveraient du vol d’un élément patrimonial de faible valeur (art. 139 en lien avec 172ter CP), de sorte que seule une amende au sens du droit suisse pourrait lui être infligée. L’OFJ aurait ainsi retenu à tort que les faits commis relevaient du brigandage au sens de l’art. 140 CP (act. 1, p. 3-6).</w:t>
      </w:r>
    </w:p>
    <w:p>
      <w:r>
        <w:rPr>
          <w:b/>
        </w:rPr>
        <w:t>E. 3.1</w:t>
      </w:r>
    </w:p>
    <w:p>
      <w:r>
        <w:t>A titre liminaire, il convient de rappeler que l’Etat requis, dans l’examen de la double incrimination, ne s’écarte pas de l’exposé des faits contenu dans la demande, sauf erreurs, lacunes ou contradictions évidentes et immédiatement établies. Il se borne à transposer les faits décrits dans la demande comme s’ils s’étaient produits en Suisse (ZIMMERMANN, La coopération judiciaire internationale, 5e éd. 2019, n° 583). La Cour de céans</w:t>
      </w:r>
    </w:p>
    <w:p>
      <w:r>
        <w:t>- 5 -</w:t>
      </w:r>
    </w:p>
    <w:p>
      <w:r>
        <w:t>examinera dès lors les faits à l’aune de la demande et du jugement serbe entré en force.</w:t>
      </w:r>
    </w:p>
    <w:p>
      <w:r>
        <w:rPr>
          <w:b/>
        </w:rPr>
        <w:t>E. 3.2</w:t>
      </w:r>
    </w:p>
    <w:p>
      <w:r>
        <w:t>Les Etats Parties à la CEExtr s’engagent à se livrer réciproquement les individus qui sont poursuivis pour une infraction ou recherchés aux fins d’exécution d’une peine ou d’une mesure de sûreté par les autorités judiciaires de la Partie requérante (art. 1 CEExtr). Donnent lieu à l’extradition les faits punis par les lois de la Partie requérante et de la Partie requise d’une peine privative de liberté ou d’une mesure de sûreté privative de liberté d’un maximum d’au moins un an ou d’une peine plus sévère (art. 2 par. 1 CEExtr; art. 35 al. 1 EIMP). Lorsqu’une condamnation à une peine est intervenue ou qu’une mesure de sûreté a été infligée sur le territoire de la Partie requérante, la sanction prononcée devra être d’une durée d’au moins quatre mois (art. 2 par. 1 CEExtr). 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et donne lieu ordinairement à la coopération internationale (cf. art. 64 al. 1 EIMP; ATF 124 II 184 consid. 4b; 122 II 422 consid. 2a; 118 Ib 448 consid. 3a; 117 Ib 337 consid. 4a; 117 Ib 64 consid. 5c; 116 Ib 89 consid. 3c/bb; 112 Ib 576 consid. 11 b/bb; 112 Ib 225 consid. 3c et la jurisprudence citée).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Contrairement à ce qui prévaut en matière de « petite entraide », la condition de la double incrimination doit être remplie pour chacune des infractions faisant l'objet de la demande d'extradition (ATF 139 IV 137 consid. 5.2.3; 125 II 569 consid. 6; 87 I 195 consid. 2). Il est de jurisprudence constante qu'afin de déterminer si la condition de la double incrimination est réalisée, le juge de l'entraide se fonde sur l'exposé des faits contenu dans la requête. Il ne s'écarte de ces faits qu'en cas d'erreurs, lacunes ou contradictions évidentes et immédiatement établies. Il se borne à transposer les faits décrits dans la demande comme s’ils s’étaient produits en Suisse (ZIMMERMANN, op. cit., n° 583, p. 624 s.; ATF 107 Ib 264 consid. 3a; arrêt du Tribunal fédéral 1A.270/2006 du 13 mars 2007 consid. 2.1; arrêt du Tribunal pénal fédéral RR.2016.36 du 14 juillet 2016 consid. 3.2).</w:t>
      </w:r>
    </w:p>
    <w:p>
      <w:r>
        <w:t>Lorsque les conditions de la CEExtr sont remplies, la Partie requise n’a pas de pouvoir discrétionnaire pour accorder ou refuser l’extradition (arrêts du</w:t>
      </w:r>
    </w:p>
    <w:p>
      <w:r>
        <w:t>- 6 -</w:t>
      </w:r>
    </w:p>
    <w:p>
      <w:r>
        <w:t>Tribunal pénal fédéral RR.2019.94 du 4 juillet 2019 consid. 2.3; RR.2018.153 du 10 juillet 2018 consid. 3.1; RR.2015.203 du 3 août 2015 consid. 2.2).</w:t>
      </w:r>
    </w:p>
    <w:p>
      <w:r>
        <w:rPr>
          <w:b/>
        </w:rPr>
        <w:t>E. 3.3</w:t>
      </w:r>
    </w:p>
    <w:p>
      <w:r>
        <w:t>En l’espèce, le jugement serbe à la base de la demande d’extradition retient que le recourant a, le 3 septembre 2013, pénétré dans le casino « B. » à Z., et, après avoir menacé une employée avec un couteau (lame de 8 à 10 cm de long), s’est emparé de sa bourse contenant RSD 28'500.--. Pour ces faits, constitutifs selon le droit serbe de vol aggravé (art. 204 al. 1 point 3 du Code pénal de la République de Serbie, traduit comme suit: « L’auteur d’infraction de vol (article 203) sera puni d’une peine d’emprisonnement d’un an à huit ans, si le vol a été commis: […] 3) d’une manière particulièrement dangereuse ou particulièrement impertinente »), il a été condamné le 11 juin 2015 par la 1ère Cour de Bujanovac à une peine de prison d’un an et deux mois. Ce jugement est entré en force le 5 octobre 2015 (act. 1.4, p. 2). Selon l’OFJ, ces faits sont constitutifs, selon le droit suisse, de brigandage (art. 140 CP), punissables d’une peine privative de liberté allant de six mois à dix ans (act. 1.1, p. 4 et art. 140 ch. 1 CP).</w:t>
      </w:r>
    </w:p>
    <w:p>
      <w:r>
        <w:rPr>
          <w:b/>
        </w:rPr>
        <w:t>E. 3.4</w:t>
      </w:r>
    </w:p>
    <w:p>
      <w:r>
        <w:t>En vertu de l’art. 140 ch. 1 CP, celui qui aura commis un vol en usant de violence à l’égard d’une personne, en la menaçant d’un danger imminent pour la vie ou l’intégrité corporelle ou en la mettant hors d’état de résister sera puni d’une peine privative de liberté de six mois à dix ans. Cette disposition est ainsi comparable à l’art. 204 al. 1 point 3 du Code pénal serbe, et réprime dès lors le vol commis avec une forme de violence ou de menace à l’encontre d’autrui. Dans son jugement du 11 juillet 2015, le tribunal de Bujanovac a notamment précisé que « l’accusé avait avec lui les outils nécessaires pour attaquer et se défendre » et dès lors retenu que « cette circonstance qualifiée figurant dans le point 4, est existante quand l’auteur d’un vol a avec lui une arme ou un outil dangereux au cours de la commission du vol avec l’intention de l’utiliser, s’il s’avère nécessaire, pour attaquer ou se défendre » (act. 1.4, p. 9-10). Il s’ensuit que l’appréciation de l’OFJ, estimant que ces faits sont constitutifs de brigandage selon le droit suisse, ne prête pas le flanc à la critique. L’argumentation du recourant, selon laquelle il n’avait pas l’intention d’utiliser son arme de manière violente pour menacer la victime, ne permet pas de retenir le contraire. Comme rappelé supra (cf. consid. 3.2), le juge de l’entraide se fonde sur l’exposé des faits de l’autorité requérante, et sur cette base procède à un examen prima facie de la condition de la double incrimination. Or le caractère dangereux, voire menaçant du recourant ressort clairement du jugement serbe produit à l’appui de la demande d’extradition. Il n’est partant pas non plus nécessaire d’examiner le critère du vol de faible valeur ou non, dans la mesure où celui- ci n’est pas relevant pour l’infraction de brigandage. En conséquence, le comportement incriminé et les sanctions prévues remplissent les exigences</w:t>
      </w:r>
    </w:p>
    <w:p>
      <w:r>
        <w:t>- 7 -</w:t>
      </w:r>
    </w:p>
    <w:p>
      <w:r>
        <w:t>de l’art. 2 par. 1 CEExtr, tant sous l’angle du droit suisse que du droit serbe. La condition de la double incrimination est donc réalisée et le grief doit partant être rejeté.</w:t>
      </w:r>
    </w:p>
    <w:p>
      <w:r>
        <w:rPr>
          <w:b/>
        </w:rPr>
        <w:t>E. 4</w:t>
      </w:r>
    </w:p>
    <w:p>
      <w:r>
        <w:t>Les considérations qui précèdent conduisent au rejet du recours. Dès lors que le recourant succombe, il n’y a pas lieu d’examiner son droit à des indemnités, pour le dommage économique ou la réparation du tort moral allégués. L’OFJ serait dans tous les cas compétent pour statuer en première instance sur le traitement de ces indemnités (v. act. 1, p. 7-8).</w:t>
      </w:r>
    </w:p>
    <w:p>
      <w:r>
        <w:rPr>
          <w:b/>
        </w:rPr>
        <w:t>E. 5</w:t>
      </w:r>
    </w:p>
    <w:p>
      <w:r>
        <w:t>Le recourant requiert sa libération (act. 1, p. 8). La personne détenue à titre extraditionnel peut demander en tout temps sa libération provisoire (art. 50 al. 3 EIMP). La décision rendue par l’OFJ à ce sujet est attaquable devant la Cour de céans dans un délai de dix jours (art. 48 al. 2 et 50 al. 3 EIMP). La Cour des plaintes peut exceptionnellement statuer en première instance sur une requête de mise en liberté formée dans le cadre d’un recours contre une décision d’extradition, si un éventuel refus de l’extradition aurait également pour conséquence l’élargissement direct du recourant et si la requête est ainsi de nature purement accessoire (arrêt du Tribunal fédéral 1A.13/2007 du 9 mars 2017 consid. 1.2; arrêt du Tribunal pénal fédéral RR.2008.59 du 19 juin 2008 consid. 2.2). En l’espèce, telle qu’elle est requise, la mise en liberté apparaît comme le simple corollaire du refus de l’extradition auquel le recourant conclut à titre principal. Ladite requête doit partant être considérée comme accessoire.</w:t>
      </w:r>
    </w:p>
    <w:p>
      <w:r>
        <w:rPr>
          <w:b/>
        </w:rPr>
        <w:t>E. 5.1</w:t>
      </w:r>
    </w:p>
    <w:p>
      <w:r>
        <w:t>L’extradition étant accordée (supra, consid. 4), la requête accessoire de mise en liberté doit être rejetée.</w:t>
      </w:r>
    </w:p>
    <w:p>
      <w:r>
        <w:rPr>
          <w:b/>
        </w:rPr>
        <w:t>E. 6</w:t>
      </w:r>
    </w:p>
    <w:p>
      <w:r>
        <w:t>Le recourant sollicite l’octroi de l’assistance judiciaire.</w:t>
      </w:r>
    </w:p>
    <w:p>
      <w:r>
        <w:rPr>
          <w:b/>
        </w:rPr>
        <w:t>E. 6.1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RS 172.021, applicable par renvoi de l’art. 39 al. 2 let. b LOAP ainsi que de l’art. 12 al. 1 EIMP).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t>- 8 -</w:t>
      </w:r>
    </w:p>
    <w:p>
      <w:r>
        <w:rPr>
          <w:b/>
        </w:rPr>
        <w:t>E. 6.2</w:t>
      </w:r>
    </w:p>
    <w:p>
      <w:r>
        <w:t>En l’espèce, les considérations qui précèdent se fondent sur des dispositions légales claires et sur des principes jurisprudentiels bien établis, que l’argumentation développée par le recourant n’était manifestement pas propre à remettre en question. L’octroi de l’assistance judiciaire doit dès lors être refusé, sans qu’il y ait lieu d’examiner si la condition de l’indigence est remplie.</w:t>
      </w:r>
    </w:p>
    <w:p>
      <w:r>
        <w:rPr>
          <w:b/>
        </w:rPr>
        <w:t>E. 7</w:t>
      </w:r>
    </w:p>
    <w:p>
      <w:r>
        <w:t>En règle générale, les frais de procédure sont mis à charge du recourant qui succombe (art. 63 al. 1 PA). L’émolument judiciaire, calculé conformément aux art. 5 et 8 al. 3 du règlement du 31 août 2010 sur les frais, émoluments, dépens et indemnités de la procédure pénale fédérale (RFPPF; RS 173.713.162; v. art. 63 al. 5 PA) sera fixé, compte tenu de la situation financière de l’intéressé, à CHF 500.--.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