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RR.2020.10 vom 9. Juni 2020</w:t>
      </w:r>
    </w:p>
    <w:p>
      <w:r>
        <w:t>Bundesstrafgericht, 2020-06-09, IT</w:t>
      </w:r>
    </w:p>
    <w:p>
      <w:r>
        <w:rPr>
          <w:b/>
        </w:rPr>
        <w:t xml:space="preserve">Quelle: </w:t>
      </w:r>
      <w:r>
        <w:t>https://mcp.opencaselaw.ch/entscheid/bstger_RR.2020.10</w:t>
      </w:r>
    </w:p>
    <w:p>
      <w:r>
        <w:t>FR: TPF RR.2020.10 du 9 juin 2020</w:t>
      </w:r>
    </w:p>
    <w:p>
      <w:r>
        <w:t>IT: TPF RR.2020.10 del 9 giugno 2020</w:t>
      </w:r>
    </w:p>
    <w:p>
      <w:pPr>
        <w:pStyle w:val="Heading2"/>
      </w:pPr>
      <w:r>
        <w:t>Regeste</w:t>
      </w:r>
    </w:p>
    <w:p>
      <w:r>
        <w:t>Assistenza giudiziaria internazionle in materia penale al Perù. Consegna di mezzi di prova (art. 74 AIMP).</w:t>
      </w:r>
    </w:p>
    <w:p>
      <w:pPr>
        <w:pStyle w:val="Heading2"/>
      </w:pPr>
      <w:r>
        <w:t>Erwägungen</w:t>
      </w:r>
    </w:p>
    <w:p>
      <w:r>
        <w:rPr>
          <w:b/>
        </w:rPr>
        <w:t>E. 1.1</w:t>
      </w:r>
    </w:p>
    <w:p>
      <w:r>
        <w:t>In virtù dell'art. 37 cpv. 2 lett. a della legge federale sull'organizzazione delle autorità penali della Confederazione (LOAP; RS 173.71) e dell'art. 25 cpv. 1 della legge federale sull'assistenza internazionale in materia penale (AIMP; RS 351.1), la Corte dei reclami penali del Tribunale penale federale giudica i gravami in materia di assistenza giudiziaria internazionale.</w:t>
      </w:r>
    </w:p>
    <w:p>
      <w:r>
        <w:rPr>
          <w:b/>
        </w:rPr>
        <w:t>E. 1.2</w:t>
      </w:r>
    </w:p>
    <w:p>
      <w:r>
        <w:t>I rapporti di assistenza giudiziaria in materia penale fra la Repubblica del Perù e la Confederazione Svizzera sono anzitutto retti dal Trattato di assistenza giu- diziaria in materia penale tra la Confederazione Svizzera e la Repubblica del Perù del 21 aprile 1997, entrato in vigore il 2 dicembre 1998 (RS 0.351.964.1). Vista la natura dei reati oggetto della rogatoria peruviana, pure applicabile nella fattispecie è la Convenzione delle Nazioni Unite contro la corruzione, conclusa il 31 ottobre 2003, entrata in vigore per il Perù il 14 dicembre 2005 e per la Svizzera il 24 ottobre 2009 (RS 0.311.56). Alle questioni che il prevalente diritto</w:t>
      </w:r>
    </w:p>
    <w:p>
      <w:r>
        <w:t>- 4 -</w:t>
      </w:r>
    </w:p>
    <w:p>
      <w:r>
        <w:t>internazionale contenuto in tali convenzioni non regola espressamente o impli- citamente, come pure quando il diritto nazionale sia più favorevole all'assi- stenza rispetto a quello pattizio (cosiddetto principio di favore), si applicano la legge federale sull'assistenza internazionale in materia penale del 20 marzo 1981 (AIMP; RS 351.1), unitamente alla relativa ordinanza (OAIMP; RS 351.11; v. art. 1 cpv. 1 AIMP, DTF 142 IV 250 consid. 3; 140 IV 123 consid. 2; 137 IV 33 consid. 2.2.2; 136 IV 82 consid. 3.1). È fatto salvo il rispetto dei diritti fonda- 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decisione di chiusura del 2 dicembre 2019, il ricorso è ricevibile sotto il profilo degli art. 25 cpv. 1, 80e cpv. 1 e 80k AIMP. Titolare della relazione bancaria oggetto della decisione impugnata, il ricorrente è legittimato a ricorrere (v. art. 9a lett. a OAIMP nonché DTF 137 IV 134 consid. 5.2.1; 130 II 162 consid. 1.1; 128 II 211 consid. 2.3; TPF 2007 79 consid. 1.6 pag. 82).</w:t>
      </w:r>
    </w:p>
    <w:p>
      <w:r>
        <w:rPr>
          <w:b/>
        </w:rPr>
        <w:t>E. 2</w:t>
      </w:r>
    </w:p>
    <w:p>
      <w:r>
        <w:t>Il ricorrente sostiene di aver concluso un accordo con la procura peruviana a seguito del quale egli non sarebbe più indagato in Perù, rimanendo a disposi- zione dell’autorità inquirente unicamente in qualità di testimone. La domanda di assistenza sarebbe quindi divenuta priva d’oggetto. Egli avrebbe chiesto all’au- torità rogante, tramite il suo legale in Perù, di ritirare l’attuale rogatoria, ciò che sarebbe dovuto avvenire a breve.</w:t>
      </w:r>
    </w:p>
    <w:p>
      <w:r>
        <w:t>Ora, come rettamente rilevato dal MPC, nella misura in cui il procedimento all’estero non riguarda (o riguardava) unicamente il ricorrente, ma è diretto an- che contro Toledo Manrique e altri, la domanda di assistenza mantiene la sua ragione di essere anche se il predetto ha concluso un accordo con le autorità peruviane. Per tacere comunque del fatto che quest’ultime non hanno dichiarato sino ad oggi di voler ritirare la loro domanda (v. DTF 113 Ib 157 consid. 5a; sentenza del Tribunale penale federale RR.2007.99 del 10 settembre 2007 con- sid. 5; ZIMMERMANN, La coopération judiciaire internationale en matière pénale, 5a ediz. 2019, n. 305). In queste condizioni, la censura va pertanto respinta.</w:t>
      </w:r>
    </w:p>
    <w:p>
      <w:r>
        <w:t>- 5 -</w:t>
      </w:r>
    </w:p>
    <w:p>
      <w:r>
        <w:rPr>
          <w:b/>
        </w:rPr>
        <w:t>E. 3</w:t>
      </w:r>
    </w:p>
    <w:p>
      <w:r>
        <w:t>L’insorgente ritiene che l’esposto dei fatti contenuto nella rogatoria sia insuffi- ciente e non permetterebbe di verificare il rispetto del principio della proporzio- nalità.</w:t>
      </w:r>
    </w:p>
    <w:p>
      <w:r>
        <w:rPr>
          <w:b/>
        </w:rPr>
        <w:t>E. 3.1</w:t>
      </w:r>
    </w:p>
    <w:p>
      <w:r>
        <w:t>L’art. 22 n. 1 Trattato svizzero-peruviano prevede che la domanda deve conte- nere le indicazioni seguenti: l’autorità che la presenta e, all’occorrenza, l’autorità incaricata del procedimento penale nello Stato richiedente (lett. a); l’oggetto e il motivo della domanda (lett. b); nella misura del possibile, il nome completo, il luogo e la data di nascita, la cittadinanza e l’indirizzo della persona in questione, al momento della presentazione della domanda (lett. c); una descrizione dei fatti (data, luogo e circostanze in cui è stato commesso il reato) che danno luogo all’indagine nello Stato richiedente, eccettuato se si tratta di una domanda di consegna ai sensi dell’art. 15 (lett. d). In questo ambito, non si può tuttavia pre- tendere dallo Stato richiedente la presentazione di un esposto dei fatti total- mente esente da lacune o contraddizioni, visto che lo scopo della rogatoria è proprio quello di chiarire punti oscuri relativi alle fattispecie oggetto d'indagine all'estero, ferma restando la necessità di poter verificare che le condizioni per la concessione dell'assistenza siano date e in che misura essa sia possibile (v. DTF 117 Ib 64 consid. 5c, con giurisprudenza citata). Lo Stato richiedente non deve provare la commissione del reato, ma esporre in modo sufficiente le circostanze sulle quali fonda i propri sospetti, per permettere allo Stato richiesto di verificare che la rogatoria non costituisca un'inammissibile ricerca indiscrimi- nata di prove (v. su questo tema DTF 125 II 65 consid. 6b/aa). L'esame della colpevolezza è riservato al giudice straniero del merito, per cui non compete a quello svizzero dell'assistenza (DTF 113 Ib 276 consid. 3a; 112 Ib 576 consid. 3; sentenza del Tribunale federale 1C_562/2011 del 22 dicembre 2011 con- sid. 1.5).</w:t>
      </w:r>
    </w:p>
    <w:p>
      <w:r>
        <w:rPr>
          <w:b/>
        </w:rPr>
        <w:t>E. 3.2</w:t>
      </w:r>
    </w:p>
    <w:p>
      <w:r>
        <w:t>In concreto, oltre a quanto già messo in evidenza in precedenza (v. supra Fatti lett. A), dalla rogatoria peruviana risulta che la società C. avrebbe pagato ingenti somme di denaro all’ex presidente peruviano Toledo Manrique affinché quest’ultimo rendesse difficile, se non impossibile, la partecipazione di altre so- cietà al concorso pubblico relativo alla costruzione del corridoio autostradale che collega il Perù al Brasile. Una volta attribuito l’appalto al consorzio integrato dalla società C., i pagamenti sarebbero stati effettuati a diverse società del gruppo imprenditoriale del ricorrente, come ad esempio group E., F. &amp; Co e G. LLC, con destinazione finale Toledo Manrique. Essi sarebbero intervenuti a tappe nel periodo 2006-2010 per un importo complessivo di circa USD 20 mi- lioni con risorse non contabilizzate depositate su conti offshore, attraverso ope- razioni bancarie all’estero. L’autorità rogante aggiunge che, tra il 2005 e il 2005, H. avrebbe comunicato a I., presidente del consiglio di amministrazione di J. SA, a K., direttore di L. SA, e a M., presidente del consiglio di amministrazione di N. SA, l’accordo illecito con Toledo Manrique (v. act. 1.3, pag. 11 e segg.). L’esposto dei fatti contenuto nella rogatoria, conforme all'art. 22 n. 1 Trattato</w:t>
      </w:r>
    </w:p>
    <w:p>
      <w:r>
        <w:t>- 6 -</w:t>
      </w:r>
    </w:p>
    <w:p>
      <w:r>
        <w:t>svizzero-peruviano, risulta quindi sufficiente per comprendere i fatti oggetto d'in- dagine e i reati contestati, per cui le censure in questo ambito vanno disattese.</w:t>
      </w:r>
    </w:p>
    <w:p>
      <w:r>
        <w:rPr>
          <w:b/>
        </w:rPr>
        <w:t>E. 4</w:t>
      </w:r>
    </w:p>
    <w:p>
      <w:r>
        <w:t>Il ricorrente afferma infine che, mancando un nesso di causalità tra i fatti inda- gati all’estero e i versamenti sul suo conto, la decisione impugnata violerebbe il principio della proporzionalità, concedendo peraltro un’assistenza maggiore di quella richiesta dall’autorità rogante. A titolo sussidiario, egli chiede che si pro- ceda a una cernita della documentazione bancaria, con oscuramento dei docu- menti non pertinenti per l’inchiesta peruviana.</w:t>
      </w:r>
    </w:p>
    <w:p>
      <w:r>
        <w:rPr>
          <w:b/>
        </w:rPr>
        <w:t>E. 4.1</w:t>
      </w:r>
    </w:p>
    <w:p>
      <w:r>
        <w:t>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 2017 consid. 4.3.1), tuttavia la questione di sapere se le informazioni richieste nell'ambito di una domanda di assistenza siano necessarie o utili per il procedi- mento estero deve essere lasciata, di massima, all'apprezzamento delle auto- rità richiedenti (sentenza del Tribunale penale federale RR.2017.146 del 4 ago- sto 2017 consid. 2.1). Lo Stato richiesto non dispone infatti dei mezzi per pro- nunciarsi sull'opportunità di assumere determinate prove e non può sostituirsi in questo compito all'autorità estera che conduce le indagini (DTF 132 II 81 con- 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 chieste essendo del tutto inidonee a far progredire le indagini (DTF 122 II 134 consid. 7b; 121 II 241 consid. 3a; sentenza del Tribunale penale federale RR.2017.21 dell’8 maggio 2017 consid. 3.1 e rinvii). Inoltre, da consolidata prassi, quando le autorità estere chiedono informazioni per ricostruire flussi pa- trimoniali di natura criminale si ritiene che necessitino di regola dell’integralità della relativa documentazione, in modo tale da chiarire quali siano tutte le per- sone o entità giuridiche coinvolte (v. DTF 129 II 462 consid. 5.5; 124 II 180 con- sid. 3c inedito; 121 II 241 consid. 3b e c; sentenze del Tribunale federale 1A.177/2006 del 10 dicembre 2007 consid. 5.5; 1A.227/2006 del 22 febbraio 2007 consid. 3.2; 1A.195/2005 del 1° settembre 2005 in fine; sentenza del Tri- bunale penale federale RR.2016.250 del 17 febbraio 2017 consid. 2.1). La tra- smissione dell'intera documentazione potrà evitare altresì che le autorità deb- bano inoltrare eventuali domande complementari (DTF 136 IV 82 consid. 4.1; 121 II 241 consid. 3; sentenza del Tribunale federale 1C_486/2008 dell'11 no- vembre 2008 consid. 2.4; sentenza del Tribunale penale federale RR.2011.113 del 28 luglio 2011 consid. 4.2), con evidente intralcio alle esigenze di celerità (v. anche art. 17a cpv. 1 AIMP). In base alla giurisprudenza l'esame da parte</w:t>
      </w:r>
    </w:p>
    <w:p>
      <w:r>
        <w:t>- 7 -</w:t>
      </w:r>
    </w:p>
    <w:p>
      <w:r>
        <w:t>delle autorità di esecuzione e del giudice dell’assistenza va limitato alla cosid- detta utilità potenziale, secondo cui la consegna giusta l'art. 74 AIMP è esclusa soltanto per quei mezzi di prova certamente privi di rilevanza per il procedi- mento penale all'estero (DTF 126 II 258 consid. 9c; 122 II 367 consid. 2c; 121 II 241 consid. 3a e b; TPF 2010 73 consid. 7.1). Vietata in particolare è la cosid- detta fishing expedition, la quale è definita dalla giurisprudenza una ricerca ge- nerale ed indeterminata di mezzi di prova volta a fondare un sospetto senza che esistano pregressi elementi concreti a sostegno dello stesso (DTF 125 II 65 consid. 6b/aa pag. 73 e rinvii). Questo modo di procedere non è consentito in ambito di assistenza internazionale sia alla luce del principio della specialità che di quello della proporzionalità. Tale divieto si fonda semplicemente sul fatto che è inammissibile procedere a casaccio nella raccolta delle prove (DTF 113 Ib 257 consid. 5c).</w:t>
      </w:r>
    </w:p>
    <w:p>
      <w:r>
        <w:t>Il principio della proporzionalità impedisce all’autorità rogata di agire ultra petita, ovvero di andare oltre i provvedimenti postulati dall'autorità richiedente, conce- dendo allo Stato rogante un’assistenza maggiore di quella richiesta (cosiddetto "Übermassverbot", DTF 116 Ib 96 consid. 5b; 115 Ib 186 consid. 4; 115 Ib 373 consid. 7). Secondo la giurisprudenza questo non impedisce tuttavia di inter- pretare la commissione rogatoria nel senso che ragionevolmente le si può attri- buire, se del caso in maniera ampia, a condizione che tutte le condizioni per concedere l'assistenza siano comunque adempiute (DTF 121 II 241 consid. 3; sentenza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w:t>
      </w:r>
    </w:p>
    <w:p>
      <w:r>
        <w:rPr>
          <w:b/>
        </w:rPr>
        <w:t>E. 4.2</w:t>
      </w:r>
    </w:p>
    <w:p>
      <w:r>
        <w:t>In concreto, l’autorità rogante ha messo in evidenza svariate operazioni inter- venute sul conto del ricorrente interessanti per l’inchiesta estera. In data 11 di- cembre 2009, sul conto in questione sono stati versati USD 3 milioni provenienti da una relazione bancaria intestata ad O., madre del ricorrente, conto destina- tario a sua volta, due giorni prima, del medesimo importo proveniente da P. Corp., società collettrice dei valori patrimoniali destinati alla corruzione ricon- ducibile al ricorrente e al centro delle indagini estere, società che a sua volta ha ricevuto denaro dalle già citate F. &amp; Co e G. LLC. La relazione del ricorrente è stata peraltro destinataria di un altro accredito di USD 2 milioni avvenuto il 10 maggio 2010, sempre in provenienza da un conto di O., valori anche in que- sto caso riconducibili a precedenti versamenti provenienti da un conto intestato ad O. Corp. Ora, se è vero che l’autorità rogante ha chiesto di poter ottenere la documentazione bancaria relativa al periodo 2009-2014, nulla può essere ec- cepito nei confronti del MPC per quanto riguarda la sua decisione di trasmettere tutta la documentazione bancaria. Tale modo di procedere, ossequioso del prin-</w:t>
      </w:r>
    </w:p>
    <w:p>
      <w:r>
        <w:t>- 8 -</w:t>
      </w:r>
    </w:p>
    <w:p>
      <w:r>
        <w:t>cipio di celerità, in quanto permette di evitare domande complementari, è con- forme alla giurisprudenza (v. supra consid. 4.1). Dovendo l’autorità estera rico- struire flussi patrimoniali di natura criminale, essa necessita della documenta- zione bancaria nella sua integralità, per cui non può nemmeno essere accolta la richiesta sussidiaria del ricorrente di effettuare una cernita dei documenti e di oscurare quelli che non sembrano pertinenti per le indagini estere, anche per- ché tale documentazione potrebbe permettere all’autorità rogante di scoprire l’esistenza di altre operazioni sospette e/o di altre entità coinvolte nei fatti og- getto d’indagine (v. ibidem). In conclusione, potendo i beni patrimoniali giunti sulla relazione del ricorrente essere collegati con l’attività corruttiva oggetto delle indagini estere, l’utilità della documentazione litigiosa è certamente data.</w:t>
      </w:r>
    </w:p>
    <w:p>
      <w:r>
        <w:t>Spetterà comunque al giudice estero del merito valutare se dalla documenta- zione inoltrata emerge in concreto una connessione penalmente rilevante fra i fatti oggetto della procedura penale in Perù e detta documentazione. Alla luce della domanda rogatoriale risulta che tutta la documentazione litigiosa è poten- zialmente utile per l’inchiesta, motivo per cui la sua trasmissione rispetta il prin- cipio della proporzionalità.</w:t>
      </w:r>
    </w:p>
    <w:p>
      <w:r>
        <w:rPr>
          <w:b/>
        </w:rPr>
        <w:t>E. 5</w:t>
      </w:r>
    </w:p>
    <w:p>
      <w:r>
        <w:t>Da quanto sopra discende che la decisione impugnata va confermata e il gra- vame integralmente respinto.</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essa è coperta dall'anticipo delle spese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