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RR.2019.93 vom 15. Mai 2019</w:t>
      </w:r>
    </w:p>
    <w:p>
      <w:r>
        <w:t>Bundesstrafgericht, 2019-05-15, DE</w:t>
      </w:r>
    </w:p>
    <w:p>
      <w:r>
        <w:rPr>
          <w:b/>
        </w:rPr>
        <w:t xml:space="preserve">Quelle: </w:t>
      </w:r>
      <w:r>
        <w:t>https://mcp.opencaselaw.ch/entscheid/bstger_RR.2019.93</w:t>
      </w:r>
    </w:p>
    <w:p>
      <w:r>
        <w:t>FR: TPF RR.2019.93 du 15 mai 2019</w:t>
      </w:r>
    </w:p>
    <w:p>
      <w:r>
        <w:t>IT: TPF RR.2019.93 del 15 maggio 2019</w:t>
      </w:r>
    </w:p>
    <w:p>
      <w:pPr>
        <w:pStyle w:val="Heading2"/>
      </w:pPr>
      <w:r>
        <w:t>Regeste</w:t>
      </w:r>
    </w:p>
    <w:p>
      <w:r>
        <w:t>Internationale Rechtshilfe in Strafsachen an Dänemark. Herausgabe zur Einziehung (Art. 74a IRSG). Unentgeltliche Rechtspflege (Art. 65 VwVG)</w:t>
      </w:r>
    </w:p>
    <w:p>
      <w:pPr>
        <w:pStyle w:val="Heading2"/>
      </w:pPr>
      <w:r>
        <w:t>Erwägungen</w:t>
      </w:r>
    </w:p>
    <w:p>
      <w:r>
        <w:rPr>
          <w:b/>
        </w:rPr>
        <w:t>E. 1.1</w:t>
      </w:r>
    </w:p>
    <w:p>
      <w:r>
        <w:t>Für die Rechtshilfe zwischen Dänemark und der Schweiz sind in erster Linie das Europäische Übereinkommen vom 20. April 1959 über die Rechtshilfe in Strafsachen (EUeR; SR 0.351.1) und das zweite Zusatzprotokoll vom 8. No- vember 2001 zum EUeR (ZP II EUeR; SR 0.351.12) massgeblich.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w:t>
      </w:r>
    </w:p>
    <w:p>
      <w:r>
        <w:t>- 4 -</w:t>
      </w:r>
    </w:p>
    <w:p>
      <w:r>
        <w:t>bilateraler Abkommen unberührt bleiben (Art. 48 Abs. 2 SDÜ; Art. 26 Ab- sätze 2 und 3 EUeR; ZIMMERMANN, La coopération judiciaire internationale en matière pénale, 5. Aufl. 2019, N. 18-21, 28-40, 77, 109).</w:t>
      </w:r>
    </w:p>
    <w:p>
      <w:r>
        <w:t>Soweit die Staatsverträge und das Zusatzprotokoll bestimmte Fragen weder ausdrücklich noch stillschweigend regeln, bzw. das schweizerische Landes- recht geringere Anforderungen an die Rechtshilfe stellt (sog. Günstigkeits- prinzip; BGE 142 IV 250 E. 3; 140 IV 123 E. 2; 136 IV 82 E. 3.1; 135 IV 212 E. 2.3; ZIMMERMANN, a.a.O., N. 229), sind das Bundesgesetz vom 20. März 1981 über internationale Rechtshilfe in Strafsachen (IRSG; SR 351.1) und die dazugehörige Verordnung vom 24. Februar 1982 (IRSV; SR 351.11) an- wendbar (Art. 1 Abs. 1 IRSG; BGE 143 IV 91 E. 1.3; 136 IV 82 E. 3.2; 130 II 337 E. 1; vgl. auch Art. 54 StPO). Vorbehalten bleibt die Wahrung der Men- schenrechte (BGE 139 II 65 E. 5.4; 135 IV 212 E. 2.3; 123 II 595 E. 7c; TPF 2008 24 E. 1.1; ZIMMERMANN, a.a.O., N. 211 ff., 223 ff., 681 ff.).</w:t>
      </w:r>
    </w:p>
    <w:p>
      <w:r>
        <w:rPr>
          <w:b/>
        </w:rPr>
        <w:t>E. 1.2</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rPr>
          <w:b/>
        </w:rPr>
        <w:t>E. 2.2</w:t>
      </w:r>
    </w:p>
    <w:p>
      <w:r>
        <w:t>Die vorliegende Beschwerde richtet sich gegen eine Schlussverfügung einer ausführenden kantonalen Behörde, mit welcher die definitive Einziehung und Herausgabe von Vermögenswerten an Dänemark angeordnet wurde. Die Beschwerde wurde fristgerecht erhoben.</w:t>
      </w:r>
    </w:p>
    <w:p>
      <w:r>
        <w:rPr>
          <w:b/>
        </w:rPr>
        <w:t>E. 3.1</w:t>
      </w:r>
    </w:p>
    <w:p>
      <w:r>
        <w:t>Zur Beschwerdeführung ist berechtigt, wer persönlich und direkt von einer Rechtshilfemassnahme betroffen ist, und ein schutzwürdiges Interesse an</w:t>
      </w:r>
    </w:p>
    <w:p>
      <w:r>
        <w:t>- 5 -</w:t>
      </w:r>
    </w:p>
    <w:p>
      <w:r>
        <w:t>deren Aufhebung oder Änderung hat (Art. 80h lit. b IRSG). Wird mit dem Rechtshilfeersuchen die Herausgabe von Gegenständen oder Vermögens- werten zur Einziehung verlangt (Art. 74a IRSG), so wird die Beschwerdele- gitimation nur zurückhaltend bejaht (BGE 123 II 595 E. 6a). Sie steht in erster Linie dem Inhaber von Guthaben zu, namentlich dem Inhaber von Bankkon- ten, auf welchen sich die betreffenden Vermögenswerte befinden (BGE 131 II 169 E. 2.2.1) oder dem Besitzer der beschlagnahmten Gegenstände (BGE 123 II 134) und zwar nach Massgabe der aus Art. 80h lit. b IRSG ab- geleiteten Kriterien.</w:t>
      </w:r>
    </w:p>
    <w:p>
      <w:r>
        <w:rPr>
          <w:b/>
        </w:rPr>
        <w:t>E. 3.2</w:t>
      </w:r>
    </w:p>
    <w:p>
      <w:r>
        <w:t>Von der Rechtshilfemassnahme sind die beiden von den Banken G. und H. geführten Konten Nr. 3 und IBAN 2 betroffen. Das Konto bei der Bank G. mit der IBAN 2 lautet auf die F. Ltd. (Verfahrensakten, Urk. 7.0.10). Damit ist die von der Rechtshilfemassnahme direkt Betroffene die F. Ltd., weshalb dem Beschwerdeführer diesbezüglich die Beschwerdelegitimation abzusprechen ist. Das Gesagte gilt analog in Bezug auf das von der Herausgabe betroffene Konto Nr. 3 bei der Bank H. mit der IBAN 3. Obschon das Konto auf B. eröff- net wurde, ist davon auszugehen, dass die darauf befindlichen Guthaben weiterhin der D. Ltd. zustehen, zumal die Vermögenswerte lediglich infolge der Auflösung der Filiale in Y. (CH) der Bank E. auf das Konto bei der Bank H. transferiert wurden. Den vorliegenden Akten und die Ausführungen des Beschwerdeführers lassen den Schluss zu, dass die D. Ltd. zum gegen- wärtigen Zeitpunkt besteht und an den Guthaben berechtigt wäre. In diesem Sinne führte die Beschwerdegegnerin in der angefochtenen Verfügung aus, das Konto bei der Bank H. werde auf B. lediglich in der internen Kontofüh- rung geführt. Die Eröffnung des Kontos bei der Bank H. auf B. sei lediglich deshalb erfolgt, weil das Rechtshilfeersuchen betreffend Beschlagnahmung gegen ihn gestellt worden und er der wirtschaftlich Berechtigte der D. Ltd. sei (act. 1.1, S. 7). Im Übrigen bekräftigen auch die Rechtsbegehren des Beschwerdeführers, mit welchen er um Herausgabe der beschlagnahmten Guthaben an die F. Ltd. und D. Ltd. ersuchte (act. 1, S. 3), dass die von der Herausgabe betroffenen Vermögenswerte den beiden Gesellschaften und nicht ihm zustehen.</w:t>
      </w:r>
    </w:p>
    <w:p>
      <w:r>
        <w:rPr>
          <w:b/>
        </w:rPr>
        <w:t>E. 3.3</w:t>
      </w:r>
    </w:p>
    <w:p>
      <w:r>
        <w:t>Demnach ist dem Beschwerdeführer die Beschwerdelegitimation abzuspre- chen. Bei diesem Ergebnis ist auf seine Vorbringen hinsichtlich einer allfälli- gen Verwechslung mit seinem eineiigen Zwillingsbruder und auf die von ihm geltend gemachten Verletzungen von Verfahrensrechten nicht einzugehen.</w:t>
      </w:r>
    </w:p>
    <w:p>
      <w:r>
        <w:rPr>
          <w:b/>
        </w:rPr>
        <w:t>E. 4</w:t>
      </w:r>
    </w:p>
    <w:p>
      <w:r>
        <w:t>Nach dem Gesagten ist auf die Beschwerde nicht einzutreten.</w:t>
      </w:r>
    </w:p>
    <w:p>
      <w:r>
        <w:t>- 6 -</w:t>
      </w:r>
    </w:p>
    <w:p>
      <w:r>
        <w:rPr>
          <w:b/>
        </w:rPr>
        <w:t>E. 5.1</w:t>
      </w:r>
    </w:p>
    <w:p>
      <w:r>
        <w:t>Bei diesem Ausgang des Verfahrens hätte der Beschwerdeführer die Ge- richtskosten zu tragen. Der Beschwerdeführer ersuchte jedoch um unent- geltliche Rechtspflege und Verbeiständung (RP.2019.19,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5.3</w:t>
      </w:r>
    </w:p>
    <w:p>
      <w:r>
        <w:t>Bei dem oben Ausgeführten erwies sich die Beschwerde offensichtlich als aussichtslos im Sinne von Art. 65 Abs. 1 VwVG. Demzufolge ist das Gesuch des Beschwerdeführers um unentgeltliche Rechtspflege und -verbeistän- dung bereits aus diesem Grund abzuweisen.</w:t>
      </w:r>
    </w:p>
    <w:p>
      <w:r>
        <w:rPr>
          <w:b/>
        </w:rPr>
        <w:t>E. 5.4</w:t>
      </w:r>
    </w:p>
    <w:p>
      <w:r>
        <w:t>Bei diesem Ausgang des Verfahrens sind die Gerichtskosten dem Be- schwerdeführer aufzuerlegen (Art. 63 Abs. 1 VwVG). Die Gerichtsgebühr ist auf Fr. 2‘000.-- festzusetzen und dem Beschwerdeführer aufzuerlegen (Art. 63 Abs. 5 VwVG und Art. 73 StBOG sowie Art. 5 und 8 Abs. 3 lit. a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