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RR.2019.92 vom 16. Dezember 2019</w:t>
      </w:r>
    </w:p>
    <w:p>
      <w:r>
        <w:t>Bundesstrafgericht, 2019-12-16, FR</w:t>
      </w:r>
    </w:p>
    <w:p>
      <w:r>
        <w:rPr>
          <w:b/>
        </w:rPr>
        <w:t xml:space="preserve">Quelle: </w:t>
      </w:r>
      <w:r>
        <w:t>https://mcp.opencaselaw.ch/entscheid/bstger_RR.2019.92</w:t>
      </w:r>
    </w:p>
    <w:p>
      <w:r>
        <w:t>FR: TPF RR.2019.92 du 16 décembre 2019</w:t>
      </w:r>
    </w:p>
    <w:p>
      <w:r>
        <w:t>IT: TPF RR.2019.92 del 16 dicembre 2019</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(ci-après: Accord bilatéral; RS 0.351.934.92), conclu le 28 octobre 1996 et entré en vigueur le 1er mai 2000. S’agissant d’une demande d’entraide présentée notamment pour la répression du blanchiment d’argent, entre également en considération la</w:t>
      </w:r>
    </w:p>
    <w:p>
      <w:r>
        <w:t>- 5 -</w:t>
      </w:r>
    </w:p>
    <w:p>
      <w:r>
        <w:t>Convention relative au blanchiment, au dépistage, à la saisie et à la confiscation des produits du crime (CBI; RS 0.311.53), entrée en vigueur le 11 septembre 1993 pour la Suisse et le 1er février 1997 pour la France. Les art. 48 ss de la Convention d’application de l’Accord de Schengen du 14 juin 1985 (CAAS; n° CELEX 42000A0922[02]; Journal officiel de l’Union européenne L 239 du 22 septembre 2000, p. 19-92) s’appliquent également à l’entraide pénale entre la Suisse et la France (cf. arrêt du Tribunal pénal fédéral RR.2008.98 du 18 décembre 2008 consid. 1.3). Dans les relations d’entraide avec la République française, les dispositions pertinentes de l’Accord de coopération entre la Confédération suisse, d’une part, et la Communauté européenne et ses Etat membres, d’autre part, pour lutter contre la fraude et toute autre activité illégale portant atteinte à leurs intérêts financiers (ci-après: Accord anti-fraude; RS 0.351.926.81; cf. également FF 2004 5807 à 5827 et 6127 ss) sont également applicables. En effet, bien qu’il ne soit pas encore en vigueur, en vertu de son art. 44 al. 3, l’Accord anti- fraude est applicable entre ces deux Etats à compter du 8 avril 2009.</w:t>
      </w:r>
    </w:p>
    <w:p>
      <w:r>
        <w:rPr>
          <w:b/>
        </w:rPr>
        <w:t>E. 1.2</w:t>
      </w:r>
    </w:p>
    <w:p>
      <w:r>
        <w:t>Les dispositions de ces traités l’emportent sur le droit autonome qui régit la matière, soit en l’occurrence la loi fédérale sur l’entraide internationale en matière pénale (EIMP; RS 0.351.1)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140 IV 123 consid. 2; 137 IV 33 consid. 2.2.2; 136 IV 82 consid. 3.1; 130 II 337 consid. 1; 124 II 180 consid. 1a). Le respect des droits fondamentaux est réservé (ATF 135 IV 212 consid. 2.3; 123 II 95 consid. 7c p. 617).</w:t>
      </w:r>
    </w:p>
    <w:p>
      <w:r>
        <w:rPr>
          <w:b/>
        </w:rPr>
        <w:t>E. 1.3</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(cf. ATF 137 IV 134 consid. 5.2.1 et 118 Ib 547 consid. 1d). Le recourant revêt en l’espèce cette qualité, de sorte qu’il dispose de la qualité pour agir.</w:t>
      </w:r>
    </w:p>
    <w:p>
      <w:r>
        <w:t>- 6 -</w:t>
      </w:r>
    </w:p>
    <w:p>
      <w:r>
        <w:rPr>
          <w:b/>
        </w:rPr>
        <w:t>E. 1.5</w:t>
      </w:r>
    </w:p>
    <w:p>
      <w:r>
        <w:t>Le délai de recours contre une décision de clôture est de 30 jours dès la communication écrite de celle-ci (art. 80k EIMP). Ledit délai a en l’espèce été respecté).</w:t>
      </w:r>
    </w:p>
    <w:p>
      <w:r>
        <w:rPr>
          <w:b/>
        </w:rPr>
        <w:t>E. 1.6</w:t>
      </w:r>
    </w:p>
    <w:p>
      <w:r>
        <w:t>Compte tenu de ce qui précède, il y a lieu d’entrer en matière.</w:t>
      </w:r>
    </w:p>
    <w:p>
      <w:r>
        <w:rPr>
          <w:b/>
        </w:rPr>
        <w:t>E. 2</w:t>
      </w:r>
    </w:p>
    <w:p>
      <w:r>
        <w:t>Le recourant soutient que la demande d’entraide ainsi que son complément ne sont pas suffisamment motivés. Hormis I., les autres personnes visées par l’enquête étrangère ne seraient pas clairement identifiées. L’autorité requérante n’indiquerait pas quelles infractions auraient été commises et aucun indice ne permettrait d’inclure le recourant dans le schéma litigieux. La transmission complémentaire ne contiendrait aucun élément supplémentaire eu égard au circuit atypique de vente de vins, ni de preuves étayant les déclarations de l’autorité française (act. 1, p. 9-11).</w:t>
      </w:r>
    </w:p>
    <w:p>
      <w:r>
        <w:rPr>
          <w:b/>
        </w:rPr>
        <w:t>E. 2.1</w:t>
      </w:r>
    </w:p>
    <w:p>
      <w:r>
        <w:t>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complété par l'art. 10 al. 2 OEIMP,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w:t>
      </w:r>
    </w:p>
    <w:p>
      <w:r>
        <w:rPr>
          <w:b/>
        </w:rPr>
        <w:t>E. 2.2</w:t>
      </w:r>
    </w:p>
    <w:p>
      <w:r>
        <w:t>La commission rogatoire internationale du 8 juillet 2016 indique qu’une enquête est menée notamment contre I. et X. des chefs de soustraction frauduleuse à l’établissement ou au paiement de l’impôt: dissimulation de sommes – fraude fiscale, blanchiment aggravé, escroquerie, faux et usage de faux, pour des faits s’étant globalement déroulés entre janvier 2007 et</w:t>
      </w:r>
    </w:p>
    <w:p>
      <w:r>
        <w:t>- 7 -</w:t>
      </w:r>
    </w:p>
    <w:p>
      <w:r>
        <w:t>décembre 2014. Les articles pertinents et applicables du code pénal sont cités, et un exemplaire est produit à l’appui de la commission rogatoire. Parmi les personnes suspectées, l’autorité requérante mentionne I., J., K., le recourant et L. (dossier du MP-VS, classeur bleu, p. 6-7). Elle expose ensuite les faits faisant l’objet de l’investigation à l’étranger et indique les documents bancaires qu’elle souhaite recevoir des autorités suisses. Ces éléments sont intégralement repris dans le complément du 14 février 2019. Enfin, la demande d’entraide indique de qui elle émane, soit du Tribunal de Grande Instance de Dijon. Il s’ensuit que, conformément à la jurisprudence précitée (cf. supra, consid. 2.1), la demande d’entraide et son complément contiennent les éléments requis par l’art. 28 EIMP, de sorte que le grief du recourant y relatif doit être rejeté.</w:t>
      </w:r>
    </w:p>
    <w:p>
      <w:r>
        <w:rPr>
          <w:b/>
        </w:rPr>
        <w:t>E. 3</w:t>
      </w:r>
    </w:p>
    <w:p>
      <w:r>
        <w:t>Le recourant indique ensuite que, malgré les compléments apportés le 14 février 2019 par l’autorité requérante, il ne serait pas démontré que le recourant ait mis en place une manœuvre frauduleuse ayant abouti à une économie ou à une soustraction frauduleuse d’impôts. La condition de la double incrimination ferait dès lors défaut (act. 1, p. 11 à 16).</w:t>
      </w:r>
    </w:p>
    <w:p>
      <w:r>
        <w:rPr>
          <w:b/>
        </w:rPr>
        <w:t>E. 3.1</w:t>
      </w:r>
    </w:p>
    <w:p>
      <w:r>
        <w:t>Sous l’angle de la double incrimination, il convient d’examiner uniquement si les faits décrits dans la demande seraient réprimés en Suisse comme une escroquerie fiscale au sens qu’en donne le droit suisse (arrêt du Tribunal pénal fédéral RR.2011.21-24 du 11 juillet 2011 consid. 4.1.1 et la jurisprudence citée). Pour interpréter la notion d’escroquerie fiscale au sens de l’art. 3 al. 3 EIMP, il faut se référer à l’art. 14 al. 2 DPA (applicable par renvoi de l’art. 24 al. 1 OEIMP). Cette disposition réprime celui qui, par une tromperie astucieuse, aura soustrait un montant important (soit égal ou supérieur à CHF 15'000.--; ATF 139 II 404 consid. 9.4) représentant une contribution. Il convient en outre de s’en tenir à la définition de l’escroquerie selon l’art. 146 CP et à la jurisprudence qui s’y rapporte (arrêt du Tribunal pénal fédéral RR.2008.240 du 20 février 2009 consid. 4.2 et la jurisprudence citée).</w:t>
      </w:r>
    </w:p>
    <w:p>
      <w:r>
        <w:rPr>
          <w:b/>
        </w:rPr>
        <w:t>E. 3.2</w:t>
      </w:r>
    </w:p>
    <w:p>
      <w:r>
        <w:t>Il y a ainsi escroquerie à l’impôt lorsque le contribuable obtient une taxation injustement favorable, en recourant à des manœuvres frauduleuses tendant à faire naître une vision faussée de la réalité. Si la remise à l’autorité fiscale de titres inexacts ou incomplets constitue toujours une escroquerie fiscale – en raison de la foi particulière qui est attachée à ce type de documents –, il faut encore envisager d’autres types de tromperie, lorsque l’intéressé recourt à des manœuvres frauduleuses ou à une mise en scène (par exemple, par la production d’une correspondance fictive, ou l’interposition d’une société de complaisance), lorsqu’il fait de fausses déclarations dont la vérification ne</w:t>
      </w:r>
    </w:p>
    <w:p>
      <w:r>
        <w:t>- 8 -</w:t>
      </w:r>
    </w:p>
    <w:p>
      <w:r>
        <w:t>serait possible qu’au prix d’un effort particulier ou ne pourrait raisonnablement être exigée, ou lorsqu’il dissuade le fisc de les contrôler, prévoit qu’un tel contrôle ne pourrait se faire sans grande peine ou mise sur un rapport de confiance (TPF 2008 128 consid. 5; arrêt du Tribunal pénal fédéral RR.2008.307-308 du 21 avril 2009 consid. 4.2 p. 9, et la jurisprudence citée). Une attitude astucieuse, au sens de l’art. 14 al. 2 DPA, doit être admise en présence d’une société de domicile fondée dans le seul but de dissimuler des éléments relevant du point de vue du droit fiscal et de tromper les autorités fiscales, si ces dernières ne peuvent que difficilement s’apercevoir de la tromperie (ATF 139 II 404 consid. 9.4 et la référence citée).</w:t>
      </w:r>
    </w:p>
    <w:p>
      <w:r>
        <w:rPr>
          <w:b/>
        </w:rPr>
        <w:t>E. 3.3</w:t>
      </w:r>
    </w:p>
    <w:p>
      <w:r>
        <w:t>Lorsqu’une demande est présentée, comme en l’espèce, pour la poursuite d’une escroquerie fiscale en matière d’impôt direct, la Suisse en tant qu’Etat requis déroge à la règle selon laquelle l’autorité d’exécution n’a pas à se déterminer sur la réalité des faits. Sans avoir à apporter des preuves de la culpabilité de la personne poursuivie, l’Etat requérant doit exposer des soupçons suffisants qu’une escroquerie fiscale a été commise. Ces exigences particulières ont pour but d’écarter le risque que soient éludées les normes excluant l’entraide en matière fiscale et de politique monétaire, commerciale ou économique selon l’art. 3 al. 3 EIMP (ATF 125 II 250 consid. b et les références citées).</w:t>
      </w:r>
    </w:p>
    <w:p>
      <w:r>
        <w:rPr>
          <w:b/>
        </w:rPr>
        <w:t>E. 3.4</w:t>
      </w:r>
    </w:p>
    <w:p>
      <w:r>
        <w:t>Dans son arrêt du 30 octobre 2018, la Cour de céans a estimé que l’autorité requérante ne démontrait pas en quoi les autorités fiscales auraient été escroquées en ne recevant pas les impôts qui lui étaient dus. L’exposé des faits contenu dans la commission rogatoire ne permettait ni de savoir si le fisc français avait effectivement été lésé ni, le cas échéant, dans quelle mesure il l’a été. Rien n’indiquait par ailleurs dans quelle mesure ou comment le recourant aurait participé au circuit atypique dont il est question et encore moins en quoi ses documents bancaires seraient pertinents pour corroborer les soupçons des autorités étrangères. La Cour de céans a dès lors conclu que s’il y avait bien des indices en faveur du caractère astucieux du montage au sens de l’art. 14 al. 2 DPA, les autorités françaises n’avaient pas allégué à hauteur de quel montant le fisc aurait été lésé. Ainsi, la requête ne montrait pas de façon convaincante la manœuvre frauduleuse aboutissant à l’économie ou à une soustraction frauduleuse d’impôt (arrêt du Tribunal pénal fédéral RR.2018.209 du 30 octobre 2018 consid. 2.3). Il convient dès lors d’examiner si les précisions apportées par l’autorité dans sa note complémentaire du 14 février 2019 permettent à présent de retenir que les éléments constitutifs de l’infraction d’escroquerie fiscale selon le droit suisse sont réunis ou si, comme le soutient le recourant, les indications fournies sont toujours insuffisantes.</w:t>
      </w:r>
    </w:p>
    <w:p>
      <w:r>
        <w:t>- 9 -</w:t>
      </w:r>
    </w:p>
    <w:p>
      <w:r>
        <w:rPr>
          <w:b/>
        </w:rPr>
        <w:t>E. 3.5.1</w:t>
      </w:r>
    </w:p>
    <w:p>
      <w:r>
        <w:t>La transmission d’éléments complémentaires par l’autorité requérante le 14 février 2019 permet de retenir les faits qui suivent. La société H. SL, dont le siège est en Andorre, est active dans le commerce de vins, et est présentée comme un fond d’investissement. Elle serait cependant dirigée non pas depuis des locaux sis en Andorre, mais depuis des locaux communs des sociétés M. SAS et G. Sàrl, sociétés dont le siège est à Aix-en-Provence. G. Sàrl est dirigée par J., et il en est le seul employé. La société M. SAS est quant à elle dirigée par K., qui s’occupe de la gestion administrative et comptable de G. Sàrl. Le niveau de centralisation et d’intégration de la gestion serait ainsi particulièrement élevé entre ces deux sociétés. G. Sàrl est par ailleurs le représentant fiscal en France de H. SL. Cette dernière est titulaire d’un compte bancaire ouvert à la Banque N. K. est le seul habilité à utiliser ce compte et il en est le bénéficiaire. K. serait en outre le dirigeant de fait de H. SL et il déciderait de sa politique d’achat, alors que J. serait son représentant commercial. Les trois sociétés seraient ainsi dirigées par des locaux communs, et par les mêmes personnes. Les achats de vins effectués seraient tantôt réglés par M. SAS, G. Sàrl ou H. SL, selon les instructions données par K. Par conséquent, H. SL serait dirigée par les locaux de M. SAS et G. Sàrl à Aix-en-Provence, par K. et J. (dossier du MP-VS, classeur bleu, p. 206 et 207).</w:t>
      </w:r>
    </w:p>
    <w:p>
      <w:r>
        <w:rPr>
          <w:b/>
        </w:rPr>
        <w:t>E. 3.5.2</w:t>
      </w:r>
    </w:p>
    <w:p>
      <w:r>
        <w:t>Le but de la société H. SL serait ainsi de déplacer les marges commerciales réalisées en France par M. SAS et G. Sàrl vers un pays à fiscalité réduite. Les vins des trois sociétés seraient stockés chez O. à U. et ne seraient pas individualisés. O. n’aurait cependant pas de client au nom de H. SL, les vins lui appartenant étant stockés soit au nom de G. Sàrl soit au nom de M., alors que pourtant le stock de H. SL est identifié dans les bases de données de M. SAS. Par ailleurs, H. SL achèterait dans un premier temps ses vins notamment à G. Sàrl, avant de les revendre avec une marge importante à M. SAS. Selon les autorités françaises, la société M. SAS aurait pu sans difficulté acheter les vins directement auprès des sociétés G. Sàrl, P. et autres, de sorte que le montage opéré ne fait pas sens. En outre, la consultation des relevés téléphoniques des sociétés M. SAS et G. Sàrl n’a pas permis de relever d’appels à destination de la société H. SL, alors que cette dernière est censée avoir développé des liens commerciaux privilégiés avec les deux premières. Ceci conduit les autorités requérantes à douter fortement de l’existence d’une entité économique distincte ayant son activité en Andorre. Le directeur administratif et commercial de M. SAS n’aurait par ailleurs pas pu justifier de l’intérêt économique du circuit commercial triangulaire élaboré entre G. Sàrl, H. SL et M., et a reconnu qu’un tel circuit pouvait être interprété comme un transfert de la marge de M. SAS en Andorre (dossier du MP-VS, classeur bleu, p. 207-208). De plus, au vu des</w:t>
      </w:r>
    </w:p>
    <w:p>
      <w:r>
        <w:t>- 10 -</w:t>
      </w:r>
    </w:p>
    <w:p>
      <w:r>
        <w:t>déclaration de K., lequel n’a pas démenti avoir fait croire qu’il gérait H. SL, et qu’il autorisait certaines opérations financières de cette société s’apparentant à du blanchiment d’argent, les autorités françaises en déduisent, dans leur demande complémentaire, qu’« au regard de l’ensemble de ces éléments, il apparaît que l’interposition de la société H. S.L. n’a d’autre utilité économique que de délocaliser la marge des SARL G. et M. SAS en Andorre au profit de K. » (dosser du MP-VS, classeur bleu, p. 210).</w:t>
      </w:r>
    </w:p>
    <w:p>
      <w:r>
        <w:rPr>
          <w:b/>
        </w:rPr>
        <w:t>E. 3.5.3</w:t>
      </w:r>
    </w:p>
    <w:p>
      <w:r>
        <w:t>L’autorité requérante détaille ensuite, dans sa transmission complémentaire, le montant du préjudice fiscal. Concernant tout d’abord H. SL, elle a constaté que son principal fournisseur était la Sàrl G. et son principal client M. Pour l’année 2012, le préjudice fiscal se monterait à EUR 1'327'435.-- pour l’impôt sur les sociétés et EUR 1'148'012.-- pour l’impôt à la source, pour l’année 2013 le préjudice fiscal se monterait à EUR 184'370.-- pour l’impôt sur les sociétés et EUR 158'031.-- pour l’impôt à la source, et pour l’année 2014, le préjudice fiscal se monterait à EUR 14'571.-- pour l’impôt sur les sociétés et EUR 12'502.-- pour l’impôt à la source, soit un préjudice total estimé à EUR 2'844'921.-- (dossier du MP-VS, classeur bleu, p. 211).</w:t>
      </w:r>
    </w:p>
    <w:p>
      <w:r>
        <w:rPr>
          <w:b/>
        </w:rPr>
        <w:t>E. 3.5.4</w:t>
      </w:r>
    </w:p>
    <w:p>
      <w:r>
        <w:t>Concernant le recourant et les liens qu’il aurait avec les faits sous enquête en France, l’autorité requérante soupçonne qu’il ait pu être commissionné de manière occulte par H. SL et K., dans le cadre d’une vente de vins effectuée à Hong Kong, ou par d’autres opérations entre les sociétés « Q » et « B. Sàrl », sises à U. et gérées par le recourant. Les sommes ainsi perçues l’auraient été au détriment du Trésor Public français et des sociétés Q de B. Sàrl. Il ressort également des éléments complémentaires fournis par l’autorité requérante qu’avant la vente, en février 2012, de vins de prix à Hong Kong (dossier du MP-VS, classeur bleu, p. 210), lesdits vins auraient fait l’objet de transactions supposées fictives entre diverses sociétés (B. Sàrl, G. Sàrl et H. SL) afin de réduire la marge commerciale réalisée par la vente à Hong Kong desdits vins, respectivement favoriser l’imposition du bénéfice dans un pays à la fiscalité plus avantageuse. Le recourant aurait perçu des rétro-commissions occultes pour son rôle, respectivement le rôle de ses sociétés, dans ces opérations (dossier du MP-VS, classeur bleu, p. 212).</w:t>
      </w:r>
    </w:p>
    <w:p>
      <w:r>
        <w:rPr>
          <w:b/>
        </w:rPr>
        <w:t>E. 3.6</w:t>
      </w:r>
    </w:p>
    <w:p>
      <w:r>
        <w:t>Au vu des éléments présentés par le Tribunal de Grande instance de Dijon dans sa transmission complémentaire, force est de conclure que le schéma mis en place, le préjudice subi par l’Etat français ainsi que le lien avec le recourant y sont décrits de façon plus détaillée par rapport à la première demande d’entraide objet de l’arrêt RR.2018.209. Le rôle de H. SL est désormais clairement décrit: malgré son siège en Andorre, la société serait en réalité dirigée depuis des locaux sis à Aix-en-Provence, soit depuis les</w:t>
      </w:r>
    </w:p>
    <w:p>
      <w:r>
        <w:t>- 11 -</w:t>
      </w:r>
    </w:p>
    <w:p>
      <w:r>
        <w:t>mêmes locaux que les sociétés G. Sàrl et M., et par les mêmes personnes. Les trois sociétés, qui sont actives dans le commerce de vins, auraient leur stock au même endroit, soit chez O. à U., et les vins ne seraient pas clairement délimités ni individualisés, comme s’il s’agissait d’un seul et même stock pour les trois sociétés. K. n’a lui-même pas pu justifier l’intérêt économique du circuit commercial élaboré entre les trois sociétés. Ainsi, il semble en effet, comme le précise l’autorité requérante dans sa transmission complémentaire, que le seul but de la société H. SL soit de délocaliser les marges des sociétés G. Sàrl et M. SAS en Andorre au profit de K. Ceci engendrerait un préjudice fiscal d’au moins EUR 2'844'921.-- relatif aux impôts à la source aux impôts sur les sociétés. L’état de fait ainsi synthétisé s’apparente à une attitude astucieuse au sens de l’art. 14 al. 2 DPA, et à la jurisprudence y relative qui retient qu’une telle attitude doit être admise en présence d’une société de domicile fondée dans le seul but de dissimuler des éléments relevant du point de vue du droit fiscal et de tromper les autorités fiscales, si ces dernières ne peuvent que difficilement s’apercevoir de la tromperie (ATF 139 II 404 consid. 9.4 et la référence citée). Le montage créé par le biais de la société H. SL, montage mis au point dans le seul but de dissimuler des éléments fiscaux est ainsi constitutif d’une attitude astucieuse au sens du droit suisse, singulièrement de l’art. 14 al. 2 DPA, et partant d’escroquerie fiscale. Le montant soustrait est par ailleurs important au sens de la jurisprudence (cf. ATF 139 II 404 consid. 9.4) dès lors qu’il dépasse largement les CHF 15'000.--.</w:t>
      </w:r>
    </w:p>
    <w:p>
      <w:r>
        <w:rPr>
          <w:b/>
        </w:rPr>
        <w:t>E. 3.7</w:t>
      </w:r>
    </w:p>
    <w:p>
      <w:r>
        <w:t>Contrairement aux affirmations du recourant, la transmission complémentaire répond de manière suffisante et satisfaisante aux questions additionnelles posées, le mécanisme frauduleux y est désormais décrit et permet de conclure que les faits constituent une escroquerie fiscale au sens de l’art. 14 al. 2 DPA. La note complémentaire précise en outre le rôle qu’a potentiellement joué le recourant dans l’affaire en question, et pourquoi ses documents bancaires pourraient servir l’enquête française. Ainsi, le recourant est soupçonné d’avoir participé à un schéma frauduleux visant à priver le fisc français d’impôts qui seraient normalement dus suite à la vente de vins effectuée à Hong Kong en 2012, et par ce biais avoir réduit la marge commerciale réalisée sur cette vente. S’en serait suivie une économie d’impôt sur le bénéfice, et des rétro-commissions perçues par le recourant dans ces opérations. Ces informations sont suffisantes pour la procédure d’entraide. De plus, la réalisation des conditions d’une des infractions est suffisante pour admettre l’entraide sur le principe de la double incrimination: il n’est pas nécessaire d’examiner si tous les chefs d’infraction seraient réalisés pour toutes les personnes mises en cause dans la procédure d’entraide (ATF 125 II 569 consid. 6; arrêts du Tribunal fédéral 1C_138/2007 du 17 juillet 2007 consid. 2.3.2; 1A.212/2001 du 21 mars 2002 consid. 7). Il</w:t>
      </w:r>
    </w:p>
    <w:p>
      <w:r>
        <w:t>- 12 -</w:t>
      </w:r>
    </w:p>
    <w:p>
      <w:r>
        <w:t>n’est dès lors pas nécessaire d’examiner si les conditions de l’infraction de blanchiment d’argent sont réalisées.</w:t>
      </w:r>
    </w:p>
    <w:p>
      <w:r>
        <w:rPr>
          <w:b/>
        </w:rPr>
        <w:t>E. 4</w:t>
      </w:r>
    </w:p>
    <w:p>
      <w:r>
        <w:t>Le recourant invoque encore une violation du principe de la proportionnalité. Les documents dont la transmission est ordonnée seraient antérieurs aux faits reprochés au recourant, et ces documents ne seraient dans tous les cas pas pertinents pour corroborer les soupçons de l’autorité requérante (act. 1, p. 16-17).</w:t>
      </w:r>
    </w:p>
    <w:p>
      <w:r>
        <w:rPr>
          <w:b/>
        </w:rPr>
        <w:t>E. 4.1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w:t>
      </w:r>
    </w:p>
    <w:p>
      <w:r>
        <w:t>- 13 -</w:t>
      </w:r>
    </w:p>
    <w:p>
      <w:r>
        <w:t>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5e éd. 2019, n° 723 s.).</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4.2</w:t>
      </w:r>
    </w:p>
    <w:p>
      <w:r>
        <w:t>S’il est vrai que dans sa transmission complémentaire, l’autorité requérante a exposé le préjudice subi pour les années 2012, 2013 et 2014, et a évoqué la participation du recourant en lien avec la vente de vins effectuée à Hong</w:t>
      </w:r>
    </w:p>
    <w:p>
      <w:r>
        <w:t>- 14 -</w:t>
      </w:r>
    </w:p>
    <w:p>
      <w:r>
        <w:t>Kong en 2012, il n’en demeure pas moins que l’enquête porte sur les pratiques potentiellement frauduleuses s’étant déroulées dès 2007 (dossier du MP-VS, classeur bleu, p. 204 et 205). Il est dès lors parfaitement conforme au principe de la proportionnalité de transmettre les documents en lien avec ces années. En effet, la justice française cherche encore à identifier les bénéficiaires économiques de mouvements de fonds totalisant EUR 3'360'839.--, et, le recourant ayant potentiellement bénéficié de certains virements, il n’est pas exclu que les documents bancaires permettent d’en mettre d’autres en lumière, afin de retracer les mouvements de fonds dans leur ensemble. A cet effet, l’on rappelle qu’en examinant les documents produits par la banque, le MP-VS a lui-même découvert l’existence de transactions entre le recourant et H. SL, à savoir un virement se montant à EUR 145'420.-- effectué par H. SL le 5 février 2009 (act. 1.1, p. 11). Qui plus est, l’on relèvera que le MP-VS a porté une attention particulière au principe de la proportionnalité dès lors qu’il n’a ordonné la transmission aux autorités françaises que de la documentation bancaire afférentes à des transactions effectuées entre les personnes physiques et morales potentiellement impliquées dans le schéma délictueux, et a caviardé les mouvements bancaires étrangers à cette affaire à des fins de protection d’intérêts légitimes (act. 1.1, p. 12). Les documents bancaires du recourant présentent dès lors bien un lien avec l’enquête étrangère, de sorte que le grief relatif à la violation du principe de la proportionnalité doit être rejeté.</w:t>
      </w:r>
    </w:p>
    <w:p>
      <w:r>
        <w:t>5. Le recourant se prévaut en outre d’une violation de l’art. 2 EIMP, particulièrement concernant le droit de se taire et de ne pas s’auto-incriminer (act. 1, p. 18).</w:t>
      </w:r>
    </w:p>
    <w:p>
      <w:r>
        <w:t>5.1 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w:t>
      </w:r>
    </w:p>
    <w:p>
      <w:r>
        <w:t>5.2 À teneur de l’art. 2 EIMP, la demande d’entraide est irrecevable si la procédure à l’étranger n’est pas conforme aux principes de procédure fixés par la CEDH ou par le Pacte international du 16 décembre 1966 relatif aux droits civils et politiques (Pacte ONU II; RS 0.103.2) (let. a) ou tend à poursuivre une personne en raison de ses opinions politiques (let. b). La</w:t>
      </w:r>
    </w:p>
    <w:p>
      <w:r>
        <w:t>- 15 -</w:t>
      </w:r>
    </w:p>
    <w:p>
      <w:r>
        <w:t>demande de coopération est également irrecevable lorsque la procédure dans l’Etat requérant présente d’autres défauts graves (let. d).</w:t>
      </w:r>
    </w:p>
    <w:p>
      <w:r>
        <w:t>5.3 Pour invoquer l’art. 2 EIMP, il faut démontrer être menacé dans les droits que cette disposition protège. Ainsi, lorsque l’Etat requérant demande l’entraide judiciaire et notamment la remise de documents bancaires, peut se prévaloir de l’art. 2 EIMP l’accusé se trouvant sur le territoire de l’Etat requérant et qui peut démontrer être concrètement exposé au risque de mauvais traitement ou de violation de ses droits de procédure (ATF 130 II 217 consid. 8.2; 125 II 356 consid. 8b; arrêt du Tribunal pénal fédéral RR.2013.77 du 29 mai 2013 consid. 3.1).</w:t>
      </w:r>
    </w:p>
    <w:p>
      <w:r>
        <w:t>5.4 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123 II 161 consid. 6b; 123 II 511 consid. 5b; 122 II 373 consid. 2a; 111 Ib 138 consid. 4).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123 II 161 consid. 6b; 123 II 511 consid. 5b; 122 II 373 consid. 2a; 112 Ib 215 consid. 7 p. 224; 109 Ib 64 consid. 6b/aa; 108 Ib 408 consid. 8b/bb; arrêt du Tribunal pénal fédéral RR.2009.24 du 6 mai 2009 consid. 4.1 et la jurisprudence citée).</w:t>
      </w:r>
    </w:p>
    <w:p>
      <w:r>
        <w:t>5.5 Lorsque l’Etat requérant est lié à la Suisse par un traité d’entraide ou d’extradition, et qu’il est aussi partie à la CEDH et au Pacte ONU II, ce qui est le cas de la France, le contrôle du respect des droits fondamentaux est présumé: l’Etat requérant est censé respecter les traités. En décidant de l’octroi de la coopération, la Suisse tient compte de la faculté de la personne poursuivie de faire valoir, devant les autorités de l’Etat requérant, puis, le cas échéant, devant les instances supranationales, les garanties matérielles offertes par la CEDH et le Pacte ONU II (v. arrêts du Tribunal pénal fédéral RR.2010.194-195 du 7 mars 2011 consid. 3.3 et RR.2007.161 du 14 février 2008 consid. 5.5), sans que cela ne dispense pour autant l’autorité suisse d’examiner concrètement si la personne concernée jouit effectivement de ces garanties dans l’Etat requérant (ZIMMERMANN, op. cit., n°224 p. 228).</w:t>
      </w:r>
    </w:p>
    <w:p>
      <w:r>
        <w:t>5.6 Le recourant reproche à l’autorité requérante d’avoir, dans la transmission complémentaire, fait grief à deux des trois principaux mis en cause d’avoir</w:t>
      </w:r>
    </w:p>
    <w:p>
      <w:r>
        <w:t>- 16 -</w:t>
      </w:r>
    </w:p>
    <w:p>
      <w:r>
        <w:t>refusé de collaborer à l’enquête. Ainsi, en indiquant que « le droit français reconnait le droit au silence, M. K. et Mme R. ont exercé un droit sans que celui puisse leur être reproché. Il convient cependant de relever que certains justiciables font le choix, pour lever les ambiguïtés ou les soupçons qui pourraient peser sur eux, de répondre aux questions des enquêteurs pour montrer leur volonté de collaborer à la procédure ». Le recourant en déduit que l’autorité requérante fait peu de cas des droits procéduraux des personnes qu’elle poursuit, et qu’il y a dès lors de fortes chances que, s’il devait lui-même être entendu par l’autorité requérant, ses droits procéduraux soient gravement menacés (act. 1, p. 18).</w:t>
      </w:r>
    </w:p>
    <w:p>
      <w:r>
        <w:t>5.7 Conformément à la jurisprudence précitée (supra, consid. 5.5), le respect des droits fondamentaux est présumé avec un Etat comme la France, lequel est partie tant à la CEDH qu’au Pacte ONU II, de sorte que les personnes poursuivies dans cet Etat ont la possibilité d’invoquer leurs droits devant les autorités françaises puis devant les autorités supranationales, en l’occurrence la Cour européenne des Droits de l’Homme. La jurisprudence exige également que le risque de violation soit concret (supra, consid. 5.3). Le recourant ne démontre nullement que ces risques sont actuels et concrets, mais invoque « de fortes chances pour que (…) ses droits procéduraux seraient gravement menacés ». Cette seule crainte n’est ainsi pas suffisante au sens de la jurisprudence afin de se prévaloir de l’art. 2 EIMP. De plus, la phrase de l’autorité requérante sur laquelle se base le recourant ne saurait être considérée comme une violation des droits procéduraux; il s’agit d’un simple constat. Il s’ensuit que le grief tiré de la violation de l’art. 2 EIMP doit être rejeté.</w:t>
      </w:r>
    </w:p>
    <w:p>
      <w:r>
        <w:t>6. Dans un dernier grief, le recourant se prévaut d’une violation du principe de spécialité, au motif que les informations pouvant être obtenues par le biais de la procédure d’entraide pourraient être communiquées à l’administration fiscale française. Ces craintes seraient légitimes puisque les autorités judiciaires françaises auraient l’obligation de transmettre toute information de nature à faire présumer une fraude fiscale (act. 1, p. 19).</w:t>
      </w:r>
    </w:p>
    <w:p>
      <w:r>
        <w:t>6.1 Selon l’art. 67 al. 1 EIMP,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EIMP; ATF 126 II 316 consid. 2b; 125 II 258 consid. 7a/aa; 124 II 184 consid. 4b et les arrêts citées). A contrario, les moyens de preuve et les renseignements obtenus par voie d’entraide peuvent dans l’Etat requérant être utilisés aux fins</w:t>
      </w:r>
    </w:p>
    <w:p>
      <w:r>
        <w:t>- 17 -</w:t>
      </w:r>
    </w:p>
    <w:p>
      <w:r>
        <w:t>d’investigation ainsi que comme moyens de preuve dans la procédure pénale pour laquelle l’entraide a été demandée, ou dans toute autre procédure pénale, sous réserve des exceptions mentionnées.</w:t>
      </w:r>
    </w:p>
    <w:p>
      <w:r>
        <w:t>6.2 L’autorité d’exécution doit signaler à l’Etat requérant ce principe et lui rappeler les limites dans lesquelles les informations communiquées seront utilisées (v. art. 34 OEIMP). Il n’y a pas lieu de douter que celui-ci respectera le principe de la spécialité, en vertu de la présomption de fidélité au traité (ATF 110 Ib 392 consid. 5b; arrêts du Tribunal pénal fédéral RR.2009.230 du 16 février 2010 consid. 4.10; RR.2009.150 du 11 septembre 2009 consid. 3.1), qu’une violation passée ne saurait renverser (ATF 110 Ib 392 consid. 5c; 109 Ib 317 consid. 14b; 107 Ib 263 consid. 4b). En pareille hypothèse, il n’est donc pas nécessaire de demander à l’Etat requérant des garanties préalables expresses (ATF 115 Ib 373 consid. 8; 107 Ib 264 consid. 4b et les références citées; arrêts du Tribunal fédéral 1C_103/2012 du 17 février 2012 consid. 2.3; 1A.76/2000 du 17 avril 2000 consid. 3c).</w:t>
      </w:r>
    </w:p>
    <w:p>
      <w:r>
        <w:t>6.3 Seules peuvent invoquer le principe de la spécialité les personnes courant le risque concret d’une utilisation prohibée, notamment à des fins fiscales, des renseignements transmis (arrêt du Tribunal fédéral 1C_32/2018 du 26 janvier 2018 consid. 1.3).</w:t>
      </w:r>
    </w:p>
    <w:p>
      <w:r>
        <w:t>6.4 En l’espèce, le recourant se contente d’invoquer un risque tout à fait hypothétique que le principe de la spécialité soit violé, sans aucunement développer sur quels motifs se fonderait cette violation. Il indique ainsi uniquement qu’il « apparaît effectivement que les informations qui pourraient être obtenues par le biais de la procédure d’entraide en matière pénale soient communiquées à l’administration fiscale française. Ces craintes sont légitimes puisque, selon cet avis de droit produit, les autorités judiciaires françaises ont l’obligation de transmettre toute information de nature à faire présumer une fraude fiscale » (act. 1, p. 19). Or si toute procédure d’entraide aboutirait à la transmission des informations à l’administration fiscale, le principe de la spécialité serait vidé de son sens. De plus, l’autorité intimée, au chiffre II. du dispositif de sa décision de clôture, a expressément réservé ledit principe de la spécialité, « en ce sens que les renseignements et documents transmis à l’étranger ne seront utilisables que dans le cadre de la poursuite pénale fondant la présente entraide ou dans le cadre de poursuites pénales fondées sur une infraction pour laquelle l’entraide aurait été accordée par la Suisse (art. 63 et 67 EIMP) ». A défaut d’exposer concrètement pourquoi les autorités françaises ne se conformeraient pas au principe de la spécialité, il n’y a pas de raison de douter de leur bonne foi, de sorte que ce grief doit également être rejeté.</w:t>
      </w:r>
    </w:p>
    <w:p>
      <w:r>
        <w:t>- 18 -</w:t>
      </w:r>
    </w:p>
    <w:p>
      <w:r>
        <w:t>7. Au vu des considérants qui précèdent, le recours, mal fondé, est rejeté.</w:t>
      </w:r>
    </w:p>
    <w:p>
      <w:r>
        <w:t>8.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CHF 5'000.-- (art. 73 al. 2 LOAP, art. 8 al. 3 du règlement du Tribunal pénal fédéral sur les frais, émoluments, dépens et indemnités de la procédure pénale fédérale du 31 août 2010 [RFPPF; RS 173.713.162] et art. 63 al. 5 PA), et entièrement couverts par l’avance de frais effectuée.</w:t>
      </w:r>
    </w:p>
    <w:p>
      <w:r>
        <w:t>- 19 -</w:t>
      </w:r>
    </w:p>
    <w:p>
      <w:r>
        <w:rPr>
          <w:b/>
        </w:rPr>
        <w:t>E. 9</w:t>
      </w:r>
    </w:p>
    <w:p>
      <w:r>
        <w:t>mai 2018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