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RR.2019.89 vom 16. Dezember 2019</w:t>
      </w:r>
    </w:p>
    <w:p>
      <w:r>
        <w:t>Bundesstrafgericht, 2019-12-16, FR</w:t>
      </w:r>
    </w:p>
    <w:p>
      <w:r>
        <w:rPr>
          <w:b/>
        </w:rPr>
        <w:t xml:space="preserve">Quelle: </w:t>
      </w:r>
      <w:r>
        <w:t>https://mcp.opencaselaw.ch/entscheid/bstger_RR.2019.89</w:t>
      </w:r>
    </w:p>
    <w:p>
      <w:r>
        <w:t>FR: TPF RR.2019.89 du 16 décembre 2019</w:t>
      </w:r>
    </w:p>
    <w:p>
      <w:r>
        <w:t>IT: TPF RR.2019.89 del 16 dicembre 2019</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w:t>
      </w:r>
    </w:p>
    <w:p>
      <w:r>
        <w:t>- 5 -</w:t>
      </w:r>
    </w:p>
    <w:p>
      <w:r>
        <w:t>art. 48 ss de la Convention d’application de l’Accord de Schengen du 14 juin 1985 (CAAS; n° 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95 consid. 7c p. 617).</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5.2.1 et 118 Ib 547 consid. 1d). Le recourant revêt en l’espèce cette qualité, de sorte qu’il dispose de la qualité pour agir.</w:t>
      </w:r>
    </w:p>
    <w:p>
      <w:r>
        <w:rPr>
          <w:b/>
        </w:rPr>
        <w:t>E. 1.5</w:t>
      </w:r>
    </w:p>
    <w:p>
      <w:r>
        <w:t>Le délai de recours contre une décision de clôture est de 30 jours dès la communication écrite de celle-ci (art. 80k EIMP). Ledit délai a en l’espèce</w:t>
      </w:r>
    </w:p>
    <w:p>
      <w:r>
        <w:t>- 6 -</w:t>
      </w:r>
    </w:p>
    <w:p>
      <w:r>
        <w:t>été respecté).</w:t>
      </w:r>
    </w:p>
    <w:p>
      <w:r>
        <w:rPr>
          <w:b/>
        </w:rPr>
        <w:t>E. 1.6</w:t>
      </w:r>
    </w:p>
    <w:p>
      <w:r>
        <w:t>Compte tenu de ce qui précède, il y a lieu d’entrer en matière.</w:t>
      </w:r>
    </w:p>
    <w:p>
      <w:r>
        <w:rPr>
          <w:b/>
        </w:rPr>
        <w:t>E. 2</w:t>
      </w:r>
    </w:p>
    <w:p>
      <w:r>
        <w:t>Le recourant invoque le caractère exclusivement fiscal des faits allégués par l’Etat requérant, et partant la violation des art. 3 al. 3 EIMP et 2 let. a CEEJ. S’agissant du volet fiscal, la condition de la double incrimination ne serait pas réalisée, dès lors que les faits décrits ne constitueraient ni une escroquerie fiscale, ni un délit fiscal qualifié, ni des actes de blanchiment au sens du droit suisse (act. 1, p. 12 ss et 16 s.).</w:t>
      </w:r>
    </w:p>
    <w:p>
      <w:r>
        <w:rPr>
          <w:b/>
        </w:rPr>
        <w:t>E. 2.1</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jurisprudence citée). Pour interpréter la notion d’escroquerie fiscale au sens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2.2</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 du point de vue du droit fiscal et de</w:t>
      </w:r>
    </w:p>
    <w:p>
      <w:r>
        <w:t>- 7 -</w:t>
      </w:r>
    </w:p>
    <w:p>
      <w:r>
        <w:t>tromper les autorités fiscales, si ces dernières ne peuvent que difficilement s’apercevoir de la tromperie (ATF 139 II 404 consid. 9.4 et la référence citée).</w:t>
      </w:r>
    </w:p>
    <w:p>
      <w:r>
        <w:rPr>
          <w:b/>
        </w:rPr>
        <w:t>E. 2.3</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b et les références citées).</w:t>
      </w:r>
    </w:p>
    <w:p>
      <w:r>
        <w:rPr>
          <w:b/>
        </w:rPr>
        <w:t>E. 2.4</w:t>
      </w:r>
    </w:p>
    <w:p>
      <w:r>
        <w:t>Dans son arrêt du 30 octobre 2018, la Cour de céans a estimé que l’autorité requérante ne démontrait pas en quoi les autorités fiscales auraient été escroquées en ne recevant pas les impôts qui lui étaient dus. L’exposé des faits contenu dans la commission rogatoire ne permettait ni de savoir si le fisc français avait effectivement été lésé ni, le cas échéant, dans quelle mesure il l’a été. Rien d’indiquait par ailleurs dans quelle mesure ou comment le recourant aurait participé au circuit atypique dont il est question et encore moins en quoi ses documents bancaires seraient pertinents pour corroborer les soupçons des autorités étrangères. La Cour de céans a dès lors conclu que s’il y avait bien des indices en faveur du caractère astucieux du montage au sens de l’art. 14 al. 2 DPA, les autorités françaises n’avaient pas allégué à hauteur de quel montant le fisc aurait été lésé. Ainsi, la requête ne montrait pas de façon convaincante la manœuvre frauduleuse aboutissant à l’économie ou à une soustraction frauduleuse d’impôt (arrêt du Tribunal pénal fédéral RR.2018.209 du 30 octobre 2018 consid. 2.3). Il convient dès lors d’examiner si les précisions apportées par l’autorité dans sa note complémentaire du 14 février 2019 permettent à présent de retenir que les éléments constitutifs de l’infraction d’escroquerie fiscale selon le droit suisse sont réunis ou si, comme le soutient le recourant, les indications fournies sont toujours insuffisantes. Par économie de procédure, il est exceptionnellement opportun d’examiner en premier lieu cette question par rapport à la question formelle de la violation du droit d’être entendu, laquelle sera examinée infra (consid. 3).</w:t>
      </w:r>
    </w:p>
    <w:p>
      <w:r>
        <w:rPr>
          <w:b/>
        </w:rPr>
        <w:t>E. 2.5.1</w:t>
      </w:r>
    </w:p>
    <w:p>
      <w:r>
        <w:t>La transmission d’éléments complémentaires par l’autorité requérante le 14 février 2019 permet de retenir les faits qui suivent. La société E. SL, dont le siège est en Andorre, est active dans le commerce de vins, et est présentée comme un fond d’investissement. Elle serait cependant dirigée</w:t>
      </w:r>
    </w:p>
    <w:p>
      <w:r>
        <w:t>- 8 -</w:t>
      </w:r>
    </w:p>
    <w:p>
      <w:r>
        <w:t>non pas depuis des locaux sis en Andorre, mais depuis des locaux communs des sociétés SAS F. et G. Sàrl, sociétés dont le siège est à Aix-en-Provence. G. Sàrl est dirigée par H., et il en est le seul employé. La société SAS F. est quant à elle dirigée par I., qui s’occupe de la gestion administrative et comptable de G. Sàrl. Le niveau de centralisation et d’intégration de la gestion serait ainsi particulièrement élevé entre ces deux sociétés. G. Sàrl est par ailleurs le représentant fiscal en France de E. SL. Cette dernière est titulaire d’un compte bancaire ouvert à la Banque J. I. est le seul habilité à utiliser ce compte et il en est le bénéficiaire. I. serait en outre le dirigeant de fait de E. SL et il déciderait de sa politique d’achat, alors que H. serait son représentant commercial. Les trois sociétés seraient ainsi dirigées par des locaux communs, et par les mêmes personnes. Les achats de vins effectués seraient tantôt réglés par SAS F., G. Sàrl ou E. SL, selon les instructions données par I. Par conséquent, E. SL serait dirigée par les locaux de SAS F. et G. Sàrl à Aix-en-Provence, par I. et H. (dossier du MP-VS, classeur bleu, p. 206 et 207).</w:t>
      </w:r>
    </w:p>
    <w:p>
      <w:r>
        <w:rPr>
          <w:b/>
        </w:rPr>
        <w:t>E. 2.5.2</w:t>
      </w:r>
    </w:p>
    <w:p>
      <w:r>
        <w:t>Le but de la société E. SL serait ainsi de déplacer les marges commerciales réalisées en France par SAS F. et G. Sàrl vers un pays à fiscalité réduite. Les vins des trois sociétés seraient stockés chez K. à U. et ne seraient pas individualisés. K. n’aurait cependant pas de client au nom de E. SL, les vins lui appartenant étant stockés soit au nom de G. Sàrl soit au nom de SAS F., alors que pourtant le stock de E. SL est identifié dans les bases de données de SAS F. Par ailleurs, E. SL achèterait dans un premier temps ses vins notamment à G. Sàrl, avant de les revendre avec une marge importante à SAS F. Selon les autorités françaises, la société SAS F. aurait pu sans difficulté acheter les vins directement auprès des sociétés G. Sàrl, L. et autres, de sorte que le montage opéré ne fait pas sens. En outre, la consultation des relevés téléphoniques des sociétés SAS F. et G. Sàrl n’a pas permis de relever d’appels à destination de la société E. SL, alors que cette dernière est censée avoir développé des liens commerciaux privilégiés avec les deux premières. Ceci conduit les autorités requérantes à douter fortement de l’existence d’une entité économique distincte ayant son activité en Andorre. Le directeur administratif et commercial de SAS F. n’aurait par ailleurs pas pu justifier de l’intérêt économique du circuit commercial triangulaire élaboré entre G. Sàrl, E. SL et SAS F., et a reconnu qu’un tel circuit pouvait être interprété comme un transfert de la marge de SAS F. en Andorre (dossier du MP-VS, classeur bleu, p. 207-208). De plus, au vu des déclaration d’I., lequel n’a pas démenti avoir fait croire qu’il gérait E. SL, et qu’il autorisait certaines opérations financières de cette société s’apparentant à du blanchiment d’argent, les autorités françaises en déduisent, dans leur demande complémentaire, qu’« au regard de l’ensemble de ces éléments, il apparaît que l’interposition de la société E.</w:t>
      </w:r>
    </w:p>
    <w:p>
      <w:r>
        <w:t>- 9 -</w:t>
      </w:r>
    </w:p>
    <w:p>
      <w:r>
        <w:t>S.L. n’a d’autre utilité économique que de délocaliser la marge des G. SARL et SAS F. en Andorre au profit de I. » (dosser du MP-VS, classeur bleu, p. 210).</w:t>
      </w:r>
    </w:p>
    <w:p>
      <w:r>
        <w:rPr>
          <w:b/>
        </w:rPr>
        <w:t>E. 2.5.3</w:t>
      </w:r>
    </w:p>
    <w:p>
      <w:r>
        <w:t>L’autorité requérante détaille ensuite, dans sa transmission complémentaire, le montant du préjudice fiscal. Concernant tout d’abord E. SL, elle a constaté que son principal fournisseur était G. Sàrl et son principal client la SAS F. Pour l’année 2012, le préjudice fiscal se monterait à EUR 1'327'435.-- pour l’impôt sur les sociétés et EUR 1'148'012.-- pour l’impôt à la source, pour l’année 2013 le préjudice fiscal se monterait à EUR 184'370.-- pour l’impôt sur les sociétés et EUR 158'031.-- pour l’impôt à la source, et pour l’année 2014, le préjudice fiscal se monterait à EUR 14'571.-- pour l’impôt sur les sociétés et EUR 12'502.-- pour l’impôt à la source, soit un préjudice total estimé à EUR 2'844'921.-- (dossier du MP-VS, classeur bleu, p. 211).</w:t>
      </w:r>
    </w:p>
    <w:p>
      <w:r>
        <w:rPr>
          <w:b/>
        </w:rPr>
        <w:t>E. 2.5.4</w:t>
      </w:r>
    </w:p>
    <w:p>
      <w:r>
        <w:t>Concernant le recourant et les liens qu’il aurait avec les faits sous enquête en France, l’autorité requérante indique que l’examen des comptes bancaires de E. SL a permis de révéler les virements suivants en sa faveur: EUR 55'000.-- le 22 mars 2012, EUR 51'605.-- le 25 avril 2012 et EUR 116'280.-- le 9 avril 2013. Des achats / ventes de vins auraient été effectués entre le recourant et E. SL, sans toutefois que les bouteilles n’aient pu être retrouvées dans le stock de l’acheteuse, et sans qu’il n’ait été possible de retracer la provenance des vins. Ces éléments conduisent l’autorité requérante à douter de la réalité des transactions de vins, mais laissent plutôt penser que ces transactions auraient eu pour objet de favoriser le transfert de sommes détenues à l’étranger et non déclarées aux autorités françaises. Les autorités françaises requièrent dès lors les relevés de l’ensemble des comptes bancaires détenus par le recourant (dossier du MP-VS, classeur bleu, p. 211 s.).</w:t>
      </w:r>
    </w:p>
    <w:p>
      <w:r>
        <w:rPr>
          <w:b/>
        </w:rPr>
        <w:t>E. 2.6</w:t>
      </w:r>
    </w:p>
    <w:p>
      <w:r>
        <w:t>Au vu des éléments présentés par le Tribunal de Grande instance de Dijon dans sa transmission complémentaire, force est de conclure que le schéma mis en place, le préjudice subi par l’Etat français ainsi que le lien avec le recourant y sont décrits de façon plus détaillée par rapport à la première demande d’entraide objet de l’arrêt RR.2018.209. Le rôle de E. SL est désormais clairement décrit: malgré son siège en Andorre, la société serait en réalité dirigée depuis des locaux sis à Aix-en-Provence, soit depuis les mêmes locaux que les sociétés G. Sàrl et SAS F., et par les mêmes personnes. Les trois sociétés, qui sont actives dans le commerce de vins, auraient leur stock au même endroit, soit chez K. à U., et les vins ne seraient pas clairement délimités ni individualisés, comme s’il s’agissait d’un seul et même stock pour les trois sociétés. I. n’a lui-même pas pu justifier l’intérêt économique du circuit commercial élaboré entre les trois sociétés. Ainsi, il</w:t>
      </w:r>
    </w:p>
    <w:p>
      <w:r>
        <w:t>- 10 -</w:t>
      </w:r>
    </w:p>
    <w:p>
      <w:r>
        <w:t>semble en effet, comme le précise l’autorité requérante dans sa transmission complémentaire, que le seul but de la société E. SL soit de délocaliser les marges des sociétés G. Sàrl et SAS F. en Andorre au profit d’I. Ceci engendrerait un préjudice fiscal d’au moins EUR 2'844'921.-- relatif aux impôts à la source et aux impôts sur les sociétés. L’état de fait ainsi synthétisé s’apparente à une attitude astucieuse au sens de l’art. 14 al. 2 DPA, et à la jurisprudence y relative qui retient qu’une telle attitude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référence citée). Le montage créé par le biais de la société E. SL, montage mis au point dans le seul but de dissimuler des éléments fiscaux est ainsi constitutif d’une attitude astucieuse au sens du droit suisse, singulièrement de l’art. 14 al. 2 DPA, et partant d’escroquerie fiscale. Le montant soustrait est par ailleurs important au sens de la jurisprudence (cf. ATF 139 II 404 consid. 9.4) dès lors qu’il dépasse largement les CHF 15'000.--.</w:t>
      </w:r>
    </w:p>
    <w:p>
      <w:r>
        <w:rPr>
          <w:b/>
        </w:rPr>
        <w:t>E. 2.7</w:t>
      </w:r>
    </w:p>
    <w:p>
      <w:r>
        <w:t>Contrairement aux affirmation du recourant, la transmission complémentaire répond de manière suffisante et satisfaisante aux questions additionnelles posées, le mécanisme frauduleux y est désormais décrit et permet de conclure que les faits constituent une escroquerie fiscale au sens de l’art. 14 al. 2 DPA. La note complémentaire précise en outre le rôle qu’a potentiellement joué le recourant dans l’affaire en question, et pourquoi ses documents bancaires pourraient servir l’enquête française. Ainsi, l’autorité requérante a identifié trois virements effectués par E. SL en faveur du recourant, pour un montant total de EUR 228'885.--, sans que ne puisse être retracée la provenance des vins ou les bouteilles dans les stocks de l’acheteuse. Ces informations sont suffisantes pour la procédure d’entraide: les détails des factures, le nombre de bouteilles vendues ou de leur prix n’est à ce stade pas relevant dès lors que ces éléments sont de la compétence du juge du fond. Par ailleurs et contrairement à ce qu’il soutient, le recourant ne doit pas lui-même être prévenu de fraude fiscale en France. De plus, la réalisation des conditions d’une des infractions est suffisante pour admettre l’entraide sur le principe de la double incrimination: il n’est pas nécessaire d’examiner si tous les chefs d’infraction seraient réalisés pour toutes les personnes mises en cause dans la procédure d’entraide (ATF 125 II 569 consid. 6; arrêts du Tribunal fédéral 1C_138/2007 du 17 juillet 2007 consid. 2.3.2; 1A.212/2001 du 21 mars 2002 consid. 7). Il n’est dès lors pas nécessaire d’examiner si les conditions de l’infraction de blanchiment d’argent sont réalisées. Enfin, les développements selon lesquels le « Domaine A. » n’existerait pas ou n’émettrait pas de factures à cet entête, ou encore que E. SL n’en serait pas client et que seule la « Maison A. »</w:t>
      </w:r>
    </w:p>
    <w:p>
      <w:r>
        <w:t>- 11 -</w:t>
      </w:r>
    </w:p>
    <w:p>
      <w:r>
        <w:t>aurait une existence juridique peut rester ouverte et laissée à la libre appréciation du juge du fond. L’on relèvera toutefois que le site internet de A. propose des vins du « Domaine A. » et de la « Maison A. », que sur ledit site, l’adresse du « Domaine A. » est la Zone Artisanale V., à U., soit l’exacte même adresse que le siège de la « Maison A. », tel que l’atteste l’extrait du Registre du commerce des sociétés produit par le recourant. L’on ne peut ainsi à ce stade nullement exclure que le recourant ait un lien avec les faits sous enquête en France, de sorte que ces arguments doivent être rejetés.</w:t>
      </w:r>
    </w:p>
    <w:p>
      <w:r>
        <w:rPr>
          <w:b/>
        </w:rPr>
        <w:t>E. 3</w:t>
      </w:r>
    </w:p>
    <w:p>
      <w:r>
        <w:t>Le recourant invoque en outre une violation de son droit d’être entendu. Le MP-VS aurait omis de se prononcer sur des questions décisives pour l’issue du litige, questions pourtant soulevées par le recourant dans ses observations du 20 mars 2019.</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3.2</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w:t>
      </w:r>
    </w:p>
    <w:p>
      <w:r>
        <w:t>- 12 -</w:t>
      </w:r>
    </w:p>
    <w:p>
      <w:r>
        <w:t>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3.3</w:t>
      </w:r>
    </w:p>
    <w:p>
      <w:r>
        <w:t>Le recourant reproche au MP-VS de n’avoir pas répondu au grief selon lequel l’autorité requérante n’aurait pas suffisamment détaillé le mécanisme frauduleux et astucieux permettant de retenir l’escroquerie fiscale. Il lui reproche ensuite de ne s’être pas déterminé sur l’absence de correspondance entre les années sous enquête (soit les années 2012, 2013 et 2014) et les années pour lesquelles les renseignements sont demandés (soit les relevés de compte relatifs aux années 2009, 2010 et 2011). Le MP- VS ne se serait en outre pas prononcé sur les arguments soulevés relatifs à la double incrimination, à savoir les montants du préjudice fiscal allégué, que ce soit pour l’infraction d’escroquerie fiscale ou de blanchiment d’argent. L’autorité intimée n’aurait pas davantage expliqué le rôle joué par le recourant ni pourquoi il serait impliqué dans le montage dont il est question, et ne se serait pas déterminée sur l’inexistence du « Domaine A. ». Enfin, le MP-VS n’aurait pas exposé pourquoi les relevés de l’ensemble des comptes bancaires détenus par le recourant seraient pertinents pour corroborer les soupçons des autorités de poursuite pénale françaises (act. 1, p. 4-7).</w:t>
      </w:r>
    </w:p>
    <w:p>
      <w:r>
        <w:rPr>
          <w:b/>
        </w:rPr>
        <w:t>E. 3.4</w:t>
      </w:r>
    </w:p>
    <w:p>
      <w:r>
        <w:t>Dans sa décision de clôture du 1er avril 2019, le MP-VS résume la note complémentaire transmise par les autorités françaises le 14 février 2019, singulièrement les rôles joués par E. SL et I., et le mécanisme mis en place. Il reprend en outre le préjudice fiscal qu’aurait subi le fisc français, pour les années 2012 à 2014, pour les impôts à la source et sur les sociétés, ainsi que les transferts de fonds douteux effectués par E. SL en faveur du recourant. Il précise en outre que les infractions poursuivies par la justice française auraient été commises entre le mois de janvier 2007 et le 31 décembre 2014, tout en soulignant que l’activité délictueuse imputée au recourant aurait été exercée entre le mois de janvier 2007 et le 31 décembre 2010. La « Maison A. », administrée par le recourant, semble impliquée dans le montage frauduleux poursuivi. Le MP-VS a encore souligné qu’il importait</w:t>
      </w:r>
    </w:p>
    <w:p>
      <w:r>
        <w:t>- 13 -</w:t>
      </w:r>
    </w:p>
    <w:p>
      <w:r>
        <w:t>que l’autorité de poursuite pénale étrangère dispose de tous les éléments utiles pour pouvoir instruire les circonstances pouvant être tant à charge qu’à décharge des suspects visés par l’enquête, de sorte qu’il ne saurait se limiter aux moyens de preuve datant de 2012, 2013 et 2014. De plus, le MP-VS a identifié plusieurs virements suspects exécutés par la société E. SL, de 2009 à 2013 et à de ce fait estimé que ces informations pouvaient servir l’enquête étrangère.</w:t>
      </w:r>
    </w:p>
    <w:p>
      <w:r>
        <w:rPr>
          <w:b/>
        </w:rPr>
        <w:t>E. 3.5</w:t>
      </w:r>
    </w:p>
    <w:p>
      <w:r>
        <w:t>Au vu de ce qui précède, force est de conclure que le MP-VS a, après avoir repris les éléments de faits déterminants exposés dans la transmission complémentaire, été en mesure de comprendre le mécanisme délictueux mis en place par les sociétés et personnes sises en France pour qualifier les faits d’escroquerie fiscale selon le droit suisse. Il s’ensuit que l’état de fait était suffisamment détaillé pour permettre à l’autorité d’exécution d’examiner les conditions de la double incrimination et les liens entre les différents protagonistes. L’on ne saurait davantage retenir une violation du droit d’être entendu au motif que le MP-VS ne se serait pas prononcé sur l’absence de correspondance concernant la période sous enquête, qui se situerait seulement entre les années 2012 et 2014, alors que le MP-VS expose que les infractions poursuivies par la justice française auraient été commises entre le mois de janvier 2007 et le 31 décembre 2014 (point 14.4 de la décision attaquée). Il précise en outre qu’il « apparaît notamment que la transmission de documents et de renseignements ne saurait se limiter aux moyens de preuve qui datent de 2012, 2013 et 2014, étant rappelé que les exercices comptables annuels en question ont déjà fait l’objet d’investigations fiscales à l’étranger » (décision attaquée, 14.6). C’est également à tort que le recourant reproche au MP-VS de ne pas s’être déterminé sur les montants du préjudice allégué: celui-ci a déjà été présenté par l’autorité requérante, de sorte que l’autorité d’exécution pouvait reprendre les éléments mis en exergue et constater ainsi que les montants en jeux étaient largement supérieurs à ceux exigés par la jurisprudence. L’autorité d’exécution a également examiné le rôle joué par le recourant, et elle a elle-même identifié un certain nombre de virements suspects, qu’elle a listé par compte en indiquant la date, le montant et s’il s’agissait d’un débit ou d’un crédit. Le MP-VS a également expliqué pourquoi il se justifiait, selon lui, de transmettre l’ensemble des relevés bancaires du recourant, de sorte que là également, l’on ne saurait lui reprocher une violation du droit d’être entendu à l’encontre du recourant. Enfin, il convient de rappeler que l’autorité n’a pas à discuter de manière détaillée tous les faits et arguments soulevés par les parties. Elle peut ainsi se limiter à discuter les questions décisives pour la résolution du litige, ce qu’a fait le MP-VS dans le cas d’espèce. Ainsi, les discussions du recourant relatives à l’existence ou non du « Domaine A. » ne font pas partie des éléments décisifs, dans la mesure où le MP-VS a</w:t>
      </w:r>
    </w:p>
    <w:p>
      <w:r>
        <w:t>- 14 -</w:t>
      </w:r>
    </w:p>
    <w:p>
      <w:r>
        <w:t>exposé pourquoi le recourant avait potentiellement joué un rôle dans le schéma litigieux, justifiant la transmission de ses documents bancaires. Pour le surplus concernant cette question, il est renvoyé aux développements effectués supra (cf. consid. 2.7). Au vu de ce qui précède, le grief relatif à la violation du droit d’être entendu doit être rejeté.</w:t>
      </w:r>
    </w:p>
    <w:p>
      <w:r>
        <w:rPr>
          <w:b/>
        </w:rPr>
        <w:t>E. 4</w:t>
      </w:r>
    </w:p>
    <w:p>
      <w:r>
        <w:t>Le recourant invoque encore une violation du principe de la proportionnalité. Les années pour lesquelles le préjudice fiscal est allégué ne correspondent pas aux années pour lesquelles les renseignements sont demandés. Ainsi, les relevés de compte relatifs aux années 2009, 2010 et 2011, de même que tous les documents concernant des éléments en relation avec ces années ne seraient d’aucune pertinence et ne sauraient dès lors être transmis à l’autorité étrangère (act. 1, p. 17-19).</w:t>
      </w:r>
    </w:p>
    <w:p>
      <w:r>
        <w:rPr>
          <w:b/>
        </w:rPr>
        <w:t>E. 4.1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w:t>
      </w:r>
    </w:p>
    <w:p>
      <w:r>
        <w:t>- 15 -</w:t>
      </w:r>
    </w:p>
    <w:p>
      <w:r>
        <w:t>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4.2</w:t>
      </w:r>
    </w:p>
    <w:p>
      <w:r>
        <w:t>Le recourant soutient que la documentation bancaire le concernant n’est pas pertinente pour l’enquête étrangère, les relevés à son nom ne correspondant pas aux années sous enquête en France. Il s’agirait ainsi d’une fishing expedition prohibée. De plus, aucune activité délictueuse n’étant reprochée au recourant lui-même pour les années 2012 et 2013, il ne se justifierait pas de transmettre la documentation pour cette période (act. 1, p. 17-19).</w:t>
      </w:r>
    </w:p>
    <w:p>
      <w:r>
        <w:rPr>
          <w:b/>
        </w:rPr>
        <w:t>E. 4.3</w:t>
      </w:r>
    </w:p>
    <w:p>
      <w:r>
        <w:t>S’il est vrai que dans sa transmission complémentaire, l’autorité requérante a exposé le préjudice subi pour les années 2012, 2013 et 2014 pour l’impôt à la source, respectivement l’impôt sur les sociétés, il n’en demeure pas moins que l’enquête porte sur les pratiques potentiellement frauduleuses s’étant déroulées dès 2007 (dossier du MP-VS, classeur bleu, p. 204 et 205). Il est dès lors parfaitement conforme au principe de la proportionnalité de transmettre les documents en liens avec ces années. En effet, la justice française cherche encore à identifier les bénéficiaires économiques de mouvements de fonds totalisant EUR 3'360'839.-- et, dès lors que le recourant lui-même a bénéficié de certains virements que l’autorité requérante a identifié, il n’est pas exclu que les documents bancaires permettent d’en mettre d’autres en lumière, afin de retracer les mouvements de fonds dans leur ensemble. A cet effet, l’on rappelle qu’en examinant les documents produits par la banque, le MP-VS a lui-même découvert l’existence de transactions entre le recourant et E. SL, en plus de celles préalablement identifiées par l’autorité requérante. Qui plus est, l’on relèvera que le MP-VS a porté une attention particulière au principe de la proportionnalité dès lors qu’il n’a ordonné la transmission aux autorités françaises que de la documentation bancaire afférentes à des transactions effectuées entre les personnes physiques et morales potentiellement impliquées dans le schéma délictueux, et a caviardé les mouvements bancaires étrangers à cette affaire à des fins de protection d’intérêts légitimes (décision attaquée, p. 12). L’on est ainsi bien loin du cas de fishing expedition et les documents bancaires du recourant présentent au contraire un lien pour l’enquête étrangère. Le grief relatif à la violation du principe de la proportionnalité doit partant être rejeté.</w:t>
      </w:r>
    </w:p>
    <w:p>
      <w:r>
        <w:t>5. Dans un dernier grief, le recourant se prévaut d’une violation du principe de spécialité, au motif que l’argumentation de la décision de clôture laisserait entendre que des renseignements non pertinents car concernant des années pour lesquelles aucun préjudice fiscal n’est allégué, respectivement aucune activité illicite n’est suspectée, peuvent être transmis (act. 1, p. 19- 20).</w:t>
      </w:r>
    </w:p>
    <w:p>
      <w:r>
        <w:t>5.1 Selon l’art. 67 al. 1 EIMP, les renseignements transmis ne peuvent, dans</w:t>
      </w:r>
    </w:p>
    <w:p>
      <w:r>
        <w:t>- 17 -</w:t>
      </w:r>
    </w:p>
    <w:p>
      <w:r>
        <w:t>l’Etat requérant, ni être utilisés aux fins d’investigation, ni être produits comme moyens de preuve dans une procédure pénale visant une infraction pour laquelle l’entraide est exclue, soit notamment pour la répression d’infractions politiques, militaires ou fiscales (art. 3 EIMP; ATF 126 II 316 consid. 2b; 125 II 258 consid. 7a/aa; 124 II 184 consid. 4b et les arrêts citées).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5.2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t>5.3 Seules peuvent invoquer le principe de la spécialité les personnes courant le risque concret d’une utilisation prohibée, notamment à des fins fiscales, des renseignements transmis (arrêt du Tribunal fédéral 1C_32/2018 du 26 janvier 2018 consid. 1.3).</w:t>
      </w:r>
    </w:p>
    <w:p>
      <w:r>
        <w:t>5.4 En l’espèce, le recourant se contente d’invoquer un risque tout à fait hypothétique que le principe de la spécialité soit violé, sans aucunement développer sur quels motifs se fonderait cette violation. Il indique ainsi uniquement que l’argumentation du MP-VS « laisse entendre que des renseignements non pertinents … peuvent être transmis » (act. 1, p. 20). Or, l’autorité intimée, au chiffre II. du dispositif de sa décision de clôture, a expressément réservé ledit principe de la spécialité, « en ce sens que les renseignements et documents transmis à l’étranger ne seront utilisables que dans le cadre de la poursuite pénale fondant la présente entraide ou dans le cadre de poursuites pénales fondées sur une infraction pour laquelle l’entraide aurait été accordée par la Suisse (art. 63 et 67 EIMP) ». A défaut d’exposer concrètement pourquoi les autorités françaises ne se conformeraient pas au principe de la spécialité, il n’y a pas de raison de douter de leur bonne foi, de sorte que ce grief doit également être rejeté.</w:t>
      </w:r>
    </w:p>
    <w:p>
      <w:r>
        <w:t>- 18 -</w:t>
      </w:r>
    </w:p>
    <w:p>
      <w:r>
        <w:t>6. Au vu des considérants qui précèdent, le recours, mal fondé, est rejeté.</w:t>
      </w:r>
    </w:p>
    <w:p>
      <w:r>
        <w:t>7.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art. 8 al. 3 du règlement du Tribunal pénal fédéral sur les frais, émoluments, dépens et indemnités de la procédure pénale fédérale du 31 août 2010 [RFPPF; RS 173.713.162] et art. 63 al. 5 PA), et entièrement couverts par l’avance de frais effectuée.</w:t>
      </w:r>
    </w:p>
    <w:p>
      <w:r>
        <w:t>- 19 -</w:t>
      </w:r>
    </w:p>
    <w:p>
      <w:r>
        <w:rPr>
          <w:b/>
        </w:rPr>
        <w:t>E. 9</w:t>
      </w:r>
    </w:p>
    <w:p>
      <w:r>
        <w:t>mai 2018 consid. 4.2).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