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RR.2019.73 vom 21. Oktober 2019</w:t>
      </w:r>
    </w:p>
    <w:p>
      <w:r>
        <w:t>Bundesstrafgericht, 2019-10-21, FR</w:t>
      </w:r>
    </w:p>
    <w:p>
      <w:r>
        <w:rPr>
          <w:b/>
        </w:rPr>
        <w:t xml:space="preserve">Quelle: </w:t>
      </w:r>
      <w:r>
        <w:t>https://mcp.opencaselaw.ch/entscheid/bstger_RR.2019.73</w:t>
      </w:r>
    </w:p>
    <w:p>
      <w:r>
        <w:t>FR: TPF RR.2019.73 du 21 octobre 2019</w:t>
      </w:r>
    </w:p>
    <w:p>
      <w:r>
        <w:t>IT: TPF RR.2019.73 del 21 ottobre 2019</w:t>
      </w:r>
    </w:p>
    <w:p>
      <w:pPr>
        <w:pStyle w:val="Heading2"/>
      </w:pPr>
      <w:r>
        <w:t>Regeste</w:t>
      </w:r>
    </w:p>
    <w:p>
      <w:r>
        <w:t>Entraide judiciaire internationale en matière pénale à la Suède. Remise de moyens de preuve (art. 74 EIMP).</w:t>
      </w:r>
    </w:p>
    <w:p>
      <w:pPr>
        <w:pStyle w:val="Heading2"/>
      </w:pPr>
      <w:r>
        <w:t>Erwägungen</w:t>
      </w:r>
    </w:p>
    <w:p>
      <w:r>
        <w:rPr>
          <w:b/>
        </w:rPr>
        <w:t>E. 1</w:t>
      </w:r>
    </w:p>
    <w:p>
      <w:r>
        <w:t>L'entraide judiciaire entre la Suède et la Confédération suisse est prioritairement régie par la Convention européenne d'entraide judiciaire en matière pénale du 20 avril 1959 (CEEJ; RS 0.351.1), entrée en vigueur pour la Suisse le 20 mars 1967 et pour la Suède le 1er mai 1968 et par le Deuxième Protocole additionnel à la CEEJ du 8 novembre 2001 (RS 0.351.12), entré en vigueur pour la Suisse le 1er février 2005 et pour la Suède le 1er mai 2014. Peut également s'appliquer en l'occurrence la Convention du Conseil de l'Europe du 8 novembre 1990 relative au blanchiment, au dépistage, à la saisie et à la confiscation des produits du crime (CBl; RS 0.311.53), en vigueur pour la Suisse dès le 11 septembre 1993 et pour la Suède dès le 1er novembre 1996. S'appliquent également à l'entraide pénale entre ces deux États, à compter du 12 décembre 2008, les art. 48 ss de la Convention d'application de l'Accord Schengen du 14 juin 1985 (CAAS; n° CELEX 42000A0922[02]; Journal officiel de l'Union européenne L 239 du 22 septembre 2000, p. 19 à 62) ainsi que les dispositions pertinentes de l’Accord du 26 octobre 2004 de coopération entre la Confédération suisse, d'une part, et la Communauté européenne et ses États membres, d'autre part, pour lutter contre la fraude et toute autre activité illégale portant atteinte à leurs intérêts financiers (RS 0.351.926.81; v. art. 2 ch. 1 et 4), appliquée provisoirement par la Suisse et la Suède dès le 8 avril 2009.</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arrêt du Tribunal pénal fédéral RR.2010.9 du 15 avril 2010 consid. 1.3), ce qui est valable aussi dans le rapport entre elles des normes internationales (v. art. 48 ch. 2 CAAS et art. 39 ch. 2 CBl). L'application de la norme la plus favorable doit avoir lieu dans le respect des droits fondamentaux (ATF 135 IV 212 consid. 2.3; 123 II 595 consid. 7c).</w:t>
      </w:r>
    </w:p>
    <w:p>
      <w:r>
        <w:rPr>
          <w:b/>
        </w:rPr>
        <w:t>E. 2</w:t>
      </w:r>
    </w:p>
    <w:p>
      <w:r>
        <w:t>En vertu de l’art. 37 al. 2 let. a ch. 1 de la loi fédérale du 19 mars 2010 sur l’organisation des autorités pénales de la Confédération (LOAP; RS 173.71) mis en relation avec les art. 25 al. 1 et 80e al. 1 EIMP, la Cour des plaintes est compétente pour connaître des recours dirigés contre les décisions de</w:t>
      </w:r>
    </w:p>
    <w:p>
      <w:r>
        <w:t>- 6 -</w:t>
      </w:r>
    </w:p>
    <w:p>
      <w:r>
        <w:t>clôture de la procédure d’entraide et, conjointement, contre les décisions incidentes rendues par les autorités cantonales ou fédérales d’exécution.</w:t>
      </w:r>
    </w:p>
    <w:p>
      <w:r>
        <w:rPr>
          <w:b/>
        </w:rPr>
        <w:t>E. 3</w:t>
      </w:r>
    </w:p>
    <w:p>
      <w:r>
        <w:t>Le délai de recours contre la décision de clôture partielle du 5 mars 2019 est de 30 jours dès la communication écrite de celle-ci (art. 80k EIMP). Déposé à un bureau de poste suisse le 8 avril 2019, le recours est intervenu en temps utile.</w:t>
      </w:r>
    </w:p>
    <w:p>
      <w:r>
        <w:rPr>
          <w:b/>
        </w:rPr>
        <w:t>E. 4.1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(v. ATF 137 IV 134 consid. 5; 118 Ib 547 consid. 1d). De jurisprudence constante, cette qualité est en revanche déniée à l'ayant droit économique (ATF 139 II 404 consid. 2.1.1 et les arrêts cités; 129 II 268 consid. 2.3.3; arrêt du Tribunal fédéral 1A.87/2004 du 3 juin 2004 consid. 2 et les arrêts cités). Exceptionnellement, la qualité pour agir est reconnue à l'ayant droit d'une société titulaire d’un compte bancaire lorsque celle-ci a été dissoute et liquidée, sous réserve de l'abus de droit. Il appartient dans ce cas à l’ayant droit de prouver la liquidation, documents à l’appui (ATF 123 II 13 consid. 2c et 2d; arrêt du Tribunal fédéral 1C_122/2011 du 23 mai 2011 consid. 2; arrêts du Tribunal pénal fédéral RR.2017.292-293 du 27 avril 2018 consid. 2.1.2 et les références citées; RR.2015.14 du 11 février 2015 et les références citées; ZIMMERMANN, La coopération judiciaire internationale en matière pénale, 5e éd. 2019, n° 529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1.2; 1C_161/2011 du 11 avril 2011 consid. 1.3.1 et les références citées). La jurisprudence a, sur ce point, précisé que la preuve de la liquidation de la société en faveur de l'ayant droit économique pouvait être apportée par d'autres moyens que la seule attestation de dissolution; il s'agit notamment de formulaires bancaires (arrêt du Tribunal fédéral 1C_370/2012 du 3 octobre 2012 consid. 2.7 in fine) ou d'avis de virements dont il ressort que</w:t>
      </w:r>
    </w:p>
    <w:p>
      <w:r>
        <w:t>- 7 -</w:t>
      </w:r>
    </w:p>
    <w:p>
      <w:r>
        <w:t>le solde des actifs de la société dissoute avait été transféré sur le compte du bénéficiaire (arrêt du Tribunal pénal fédéral RR.2012.223 du 14 juin 2013 consid. 2.3).</w:t>
      </w:r>
    </w:p>
    <w:p>
      <w:r>
        <w:rPr>
          <w:b/>
        </w:rPr>
        <w:t>E. 4.2</w:t>
      </w:r>
    </w:p>
    <w:p>
      <w:r>
        <w:t>En l’occurrence, l’affirmation de B. selon laquelle sa qualité d’ayant droit économique de la relation bancaire – clôturé – de F. Ltd auprès de la banque I. AG lui permet, suite à la dissolution de ladite société, de s’opposer à la transmission des informations bancaires concernant le compte précité (act. 1, p. 7) ne saurait être suivie. Selon la jurisprudence, pour que la qualité pour recourir soit reconnue à l’ayant droit d’une personne morale, celui-ci doit clairement être indiqué dans l’acte de dissolution de la société (v. supra consid. 4.3). La production des documents d’ouverture du compte bancaire (dont le formulaire A) signés par l’ayant droit économique ne suffisent dès lors pas à prouver que ce dernier (ou un tiers) est le bénéficiaire effectif de la dissolution d’une société (RR.2014.168 du 9 décembre 2014 consid. 4; ZIMMERMANN, op. cit., n° 529). Dès lors, le seul formulaire A – daté du 3 janvier 2017 – utilisé lors de l’ouverture de la relation bancaire de F. Ltd auprès de la banque I. AG (act. 1.2; act. 6.1, onglet « C.5.1 », p. 56) ne permet pas d’établir que B. a effectivement bénéficié des actifs de F. Ltd et qu’il a, de ce fait, la qualité pour recourir. Au contraire, il ressort du dossier de la cause, et tout particulièrement de l’échange d’écritures entre la banque et la société précitées, que F. Ltd a requis, en date du 22 et 27 mars 2018, la cessation de la relation commerciale existante avec I. AG et le transfert des actifs résiduels sur un compte auprès de la Banque J. à Frankfurt dont le titulaire n’est pas le recourant mais K. Ltd (act. 6.1, onglet « C.5.2 », p. 139 ss, spéc., p. 151, 152, 156). Il est de surcroît fait référence à un sous compte dans la Banque J. dont l’utilisation bénéficierait (Verwendungszweck) précisément F. Ltd (act. 6.1, onglet « C.5.2 », p. 156). Enfin, s’agissant de l’affirmation du recourant selon laquelle F. Ltd aurait été dissoute à la suite de la clôture du compte auprès de I. AG (act. 1, p. 7), elle n’est corroborée par aucune pièce du dossier.</w:t>
      </w:r>
    </w:p>
    <w:p>
      <w:r>
        <w:rPr>
          <w:b/>
        </w:rPr>
        <w:t>E. 4.3</w:t>
      </w:r>
    </w:p>
    <w:p>
      <w:r>
        <w:t>Des éléments qui précèdent il appert que le recourant n’a ni démontré que la société F. Ltd a été dissoute ni qu’en sa qualité d’ayant droit de la relation bancaire que cette dernière maintenait auprès de I. AG il a effectivement bénéficié des actifs lors de la clôture du compte IBAN 1. Il s’ensuit, que B. n’est pas légitimé à s’opposer à la transmission des informations bancaires concernant F. Ltd aux autorités suédoises.</w:t>
      </w:r>
    </w:p>
    <w:p>
      <w:r>
        <w:rPr>
          <w:b/>
        </w:rPr>
        <w:t>E. 5</w:t>
      </w:r>
    </w:p>
    <w:p>
      <w:r>
        <w:t>Au vu des considérations qui précèdent, le recours est irrecevable.</w:t>
      </w:r>
    </w:p>
    <w:p>
      <w:r>
        <w:t>- 8 -</w:t>
      </w:r>
    </w:p>
    <w:p>
      <w:r>
        <w:rPr>
          <w:b/>
        </w:rPr>
        <w:t>E. 6</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Dans la mesure où le recourant a succombé, il supportera les frais du présent arrêt, fixés à CHF 3’000.--, montant couvert par l’avance de frais de CHF 5'000.-- déjà versée. La caisse du Tribunal pénal fédéral restituera au conseil du recourant le solde par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