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RR.2019.71 vom 7. Mai 2019</w:t>
      </w:r>
    </w:p>
    <w:p>
      <w:r>
        <w:t>Bundesstrafgericht, 2019-05-07, FR</w:t>
      </w:r>
    </w:p>
    <w:p>
      <w:r>
        <w:rPr>
          <w:b/>
        </w:rPr>
        <w:t xml:space="preserve">Quelle: </w:t>
      </w:r>
      <w:r>
        <w:t>https://mcp.opencaselaw.ch/entscheid/bstger_RR.2019.71</w:t>
      </w:r>
    </w:p>
    <w:p>
      <w:r>
        <w:t>FR: TPF RR.2019.71 du 7 mai 2019</w:t>
      </w:r>
    </w:p>
    <w:p>
      <w:r>
        <w:t>IT: TPF RR.2019.71 del 7 maggio 2019</w:t>
      </w:r>
    </w:p>
    <w:p>
      <w:pPr>
        <w:pStyle w:val="Heading2"/>
      </w:pPr>
      <w:r>
        <w:t>Regeste</w:t>
      </w:r>
    </w:p>
    <w:p>
      <w:r>
        <w:t>Entraide judiciaire internationale en matière pénale à l'Espagne. Remise de moyens de preuve (art. 74 EIMP).</w:t>
      </w:r>
    </w:p>
    <w:p>
      <w:pPr>
        <w:pStyle w:val="Heading2"/>
      </w:pPr>
      <w:r>
        <w:t>Erwägungen</w:t>
      </w:r>
    </w:p>
    <w:p>
      <w:r>
        <w:rPr>
          <w:b/>
        </w:rPr>
        <w:t>E. 26</w:t>
      </w:r>
    </w:p>
    <w:p>
      <w:r>
        <w:t>août 2010 consid. 5; RR.2008.190 du 26 février 2009 consid. 1; RR.2008.216+RR.2008.225-230 du 20 novembre 2008 consid. 1.2; MOSER/ BEUSCH/KNEUBÜHLER, Prozessieren vor dem Bundesverwaltungsgericht, 2e éd. 2013, § 3.17, p. 144 s.);</w:t>
      </w:r>
    </w:p>
    <w:p>
      <w:r>
        <w:t>- dès lors qu’en l’espèce l’irrecevabilité prononcée supra, faute de pouvoir de représentation de la personne signataire de la procuration jointe au recours, ne concerne que A. SA et non B., lesquels ont interjeté conjointement le recours du 3 avril 2019, il sied de disjoindre les causes et d’attribuer le numéro de dossier RR.2019.71 à l’affaire concernant A. SA et le numéro de</w:t>
      </w:r>
    </w:p>
    <w:p>
      <w:r>
        <w:t>- 5 -</w:t>
      </w:r>
    </w:p>
    <w:p>
      <w:r>
        <w:t>dossier RR.2019.70 à celle concernant B., qui suit son cours;</w:t>
      </w:r>
    </w:p>
    <w:p>
      <w:r>
        <w:t>- au vu de la conclusion qui précède et en application de l’art. 57 al. 1 PA, la Cour de céans a renoncé à procéder à un échange d’écritures dans le cadre de la procédure RR.2019.71, relative au recours formé par A. SA;</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à A. SA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déjà versée; étant précisé que le solde par CHF 5’000.-- constitue l’avance de frais relative à la procédure RR.2019.70 qui suit son cours.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