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RR.2019.68 vom 10. Juli 2019</w:t>
      </w:r>
    </w:p>
    <w:p>
      <w:r>
        <w:t>Bundesstrafgericht, 2019-07-10, FR</w:t>
      </w:r>
    </w:p>
    <w:p>
      <w:r>
        <w:rPr>
          <w:b/>
        </w:rPr>
        <w:t xml:space="preserve">Quelle: </w:t>
      </w:r>
      <w:r>
        <w:t>https://mcp.opencaselaw.ch/entscheid/bstger_RR.2019.68</w:t>
      </w:r>
    </w:p>
    <w:p>
      <w:r>
        <w:t>FR: TPF RR.2019.68 du 10 juillet 2019</w:t>
      </w:r>
    </w:p>
    <w:p>
      <w:r>
        <w:t>IT: TPF RR.2019.68 del 10 luglio 2019</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 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 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 péenne L 239 du 22 septembre 2000, p. 19-62; publication de la Chancellerie fédérale, « Entraide et extradition ») s'appliquent également à l'entraide pé- nale entre la Suisse et le Portugal (v. arrêt du Tribunal pénal fédéral RR.2008.98 du 18 décembre 2008 consid. 1.3). Pour le surplus, la loi fédé- 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 sid. 2.2.2; 136 IV 82 consid. 3.1; 129 II 462 consid. 1.1; 122 II 140 consid. 2).</w:t>
      </w:r>
    </w:p>
    <w:p>
      <w:r>
        <w:t>- 4 -</w:t>
      </w:r>
    </w:p>
    <w:p>
      <w:r>
        <w:t>L'application de la norme la plus favorable (principe dit « de faveur ») doit avoir lieu dans le respect des droits fondamentaux (ATF 135 IV 212 con- sid. 2.3).</w:t>
      </w:r>
    </w:p>
    <w:p>
      <w:r>
        <w:rPr>
          <w:b/>
        </w:rPr>
        <w:t>E. 1.2</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sur l'organisa- tion des autorités pénales de la Confédération [LOAP; RS 173.71]).</w:t>
      </w:r>
    </w:p>
    <w:p>
      <w:r>
        <w:rPr>
          <w:b/>
        </w:rPr>
        <w:t>E. 1.3.1</w:t>
      </w:r>
    </w:p>
    <w:p>
      <w:r>
        <w:t>Selon l'art. 80h let. b EIMP, la qualité pour recourir contre une mesure d'en- traide judiciaire est reconnue à celui qui est personnellement et directement touché par celle-ci. Aux termes de l’art. 9a let. a OEIMP, est notamment ré- puté personnellement et directement touché au sens des art. 21 al. 3 et 80h EIMP, en cas d’informations sur un compte, le titulaire du compte dont les documents font l’objet de la décision de clôture.</w:t>
      </w:r>
    </w:p>
    <w:p>
      <w:r>
        <w:rPr>
          <w:b/>
        </w:rPr>
        <w:t>E. 1.3.2</w:t>
      </w:r>
    </w:p>
    <w:p>
      <w:r>
        <w:t>En l’espèce, le recourant fonde sa qualité pour agir sur le fait que certains documents faisant l’objet de la décision de clôture le concernent lui et non la société E. Corp. Dans sa réplique, il précise que plusieurs pièces concernent ses comptes bancaires, dont les pièces n° 30118, 30242 à 30248, 30272 et 30273 (act. 10, p. 7-8). Le recourant n’affirme cependant pas être titulaire du compte n° 1 auprès de la banque F. Or, les documents bancaires objet de la décision de clôture sont précisément ceux relatifs au compte précité, dont le titulaire est E. Corp. Le seul fait que le nom du recourant ainsi que des ex- traits bancaires d’un compte dont il est titulaire fassent partie des documents transmis par la banque F. au MP-GE, et que ceux-ci soient également des- tinés à être acheminés à l’autorité requérante, ne suffit assurément pas à fonder la qualité pour agir du recourant. Admettre le contraire permettrait à quiconque – dont le nom et des informations bancaires seraient en lien avec le compte objet de la décision de clôture – de recourir contre une telle déci- sion. Or c’est précisément le but de l’entraide que de coopérer à la mise en lumière de versements litigieux, mettant souvent en cause des entités encore inconnues des autorités requérantes.</w:t>
      </w:r>
    </w:p>
    <w:p>
      <w:r>
        <w:rPr>
          <w:b/>
        </w:rPr>
        <w:t>E. 2</w:t>
      </w:r>
    </w:p>
    <w:p>
      <w:r>
        <w:t>Le recours est ainsi irrecevable.</w:t>
      </w:r>
    </w:p>
    <w:p>
      <w:r>
        <w:rPr>
          <w:b/>
        </w:rPr>
        <w:t>E. 3</w:t>
      </w:r>
    </w:p>
    <w:p>
      <w:r>
        <w:t>Vu l’issue du litige, les frais de procédure comprenant l’émolument d’arrêté, les émoluments de chancellerie et les débours seront mis à la charge du</w:t>
      </w:r>
    </w:p>
    <w:p>
      <w:r>
        <w:t>- 5 -</w:t>
      </w:r>
    </w:p>
    <w:p>
      <w:r>
        <w:t>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2'000.--, montant entièrement couvert par l’avance de frais de CHF 5'000.-- déjà versée (art. 73 al. 2 LOAP et art. 8 al. 3 du règlement du 31 août 2010 du Tribunal pénal fédéral sur les frais, émoluments, dépens et indemnités de la procédure pénale fédérale [RFPPF; RS 173.713.162] et art. 63 al. 5 PA). La caisse du Tribunal pénal fédéral restituera au conseil du recourant le solde par CHF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