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RR.2019.60 vom 22. Mai 2019</w:t>
      </w:r>
    </w:p>
    <w:p>
      <w:r>
        <w:t>Bundesstrafgericht, 2019-05-22, IT</w:t>
      </w:r>
    </w:p>
    <w:p>
      <w:r>
        <w:rPr>
          <w:b/>
        </w:rPr>
        <w:t xml:space="preserve">Quelle: </w:t>
      </w:r>
      <w:r>
        <w:t>https://mcp.opencaselaw.ch/entscheid/bstger_RR.2019.60</w:t>
      </w:r>
    </w:p>
    <w:p>
      <w:r>
        <w:t>FR: TPF RR.2019.60 du 22 mai 2019</w:t>
      </w:r>
    </w:p>
    <w:p>
      <w:r>
        <w:t>IT: TPF RR.2019.60 del 22 maggio 2019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materia penale, unita- mente alla relativa ordinanza (OAIMP; RS 351.11; v. art. 1 cpv. 1 AIMP, art. I n.</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La ricorrente è titolare delle relazioni bancarie oggetto della decisione impugnata ed è di conseguenza legittimata a ricorrere (v. art. 80h lett. b AIMP e art. 9a lett. a OAIMP nonché DTF 137 IV 134 consid. 5.2.1; 130 II 162 consid. 1.1; 128 II 211 consid. 2.3; TPF 2007 79 consid. 1.6 pag. 82).</w:t>
      </w:r>
    </w:p>
    <w:p>
      <w:r>
        <w:rPr>
          <w:b/>
        </w:rPr>
        <w:t>E. 2</w:t>
      </w:r>
    </w:p>
    <w:p>
      <w:r>
        <w:t>La ricorrente sostiene che l'autorità rogata non si sarebbe attenuta a quanto richiesto dall'autorità estera, la quale, nel suo complemento del 6 novembre 2017, avrebbe postulato la trasmissione di documentazione relativa ai conti cor- renti cifrati n. 1 e n. 2 presso Banca F. La decisione impugnata avrebbe invece per oggetto le relazioni n. 1 e 4 (ex n. 5). Già per tale motivo non vi sarebbe ragione per trasmettere la documentazione concernente la relazione 4, la quale non presenterebbe alcun punto di contatto con i fatti oggetto dell’inchiesta ita- liana e che sarebbe quindi inutile per l’autorità rogante, anche perché il MPC non avrebbe evidenziato nessuna transazione avvenuta sulle relazioni in parola collegabile con il procedimento estero. In definitiva, la ricorrente afferma che la decisione di chiusura impugnata sarebbe lesiva del principio della proporziona- lità e del divieto di fishing expedition.</w:t>
      </w:r>
    </w:p>
    <w:p>
      <w:r>
        <w:rPr>
          <w:b/>
        </w:rPr>
        <w:t>E. 2.1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w:t>
      </w:r>
    </w:p>
    <w:p>
      <w:r>
        <w:t>- 5 -</w:t>
      </w:r>
    </w:p>
    <w:p>
      <w:r>
        <w:t>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l'inoltro di eventuali domande comple- mentari (DTF 136 IV 82 consid. 4.1; 121 II 241 consid. 3; sentenza del Tribunale federale 1C_486/2008 dell'11 novembre 2008 consid. 2.4; sentenza del Tribu- nale penale federale RR.2011.113 del 28 luglio 2011 consid. 4.2). In base alla giurisprudenza l'esame da parte delle autorità di esecuzione e del giudice dell’assistenza va limitato alla cosiddetta utilità potenziale, secondo cui la con- segna giusta l'art. 74 AIMP è esclusa soltanto per quei mezzi di prova certa- 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 cio nella raccolta delle prove (DTF 113 Ib 257 consid. 5c).</w:t>
      </w:r>
    </w:p>
    <w:p>
      <w:r>
        <w:t>Il principio della proporzionalità impedisce all’autorità rogata di agire "ultra pe- 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tutte le condizioni per concedere l'assistenza siano comunque adempiute; si evita così che lo Stato estero sia costretto a presentare domande complementari (DTF 121 II 241 con- sid. 3; sentenza del Tribunale federale 1A.258/2006 del 16 febbraio 2007 con- sid. 2.3), creando il rischio di passaggi a vuoto in contrasto con l’obbligo di ce- lerità giusta l’art. 17a AIMP. Alle predette condizioni possono quindi essere tra- smessi delle informazioni e dei documenti non espressamente menzionati nella domanda di assistenza (TPF 2009 161 consid. 5.2; sentenze del Tribunale pe- nale federale RR.2010.39 del 28 aprile 2010 consid. 5.1, e RR.2010.8 del</w:t>
      </w:r>
    </w:p>
    <w:p>
      <w:r>
        <w:t>- 6 -</w:t>
      </w:r>
    </w:p>
    <w:p>
      <w:r>
        <w:t>16 aprile 2010 consid. 2.2) ed incombe alla persona toccata dalla misura dimo- strare in maniera chiara e precisa perché i documenti e le informazioni in que- stione vanno oltre il senso che si può ragionevolmente attribuire alla domanda rogatoriale, rispettivamente non presentano nessun interesse per la procedura estera.</w:t>
      </w:r>
    </w:p>
    <w:p>
      <w:r>
        <w:rPr>
          <w:b/>
        </w:rPr>
        <w:t>E. 2.2</w:t>
      </w:r>
    </w:p>
    <w:p>
      <w:r>
        <w:t>In concreto, si rileva innanzitutto che avente diritto economico delle relazioni oggetto della decisione impugnata è G. SA, Lussemburgo. A prescindere dal suo statuto d'imputata o meno nell'ambito del procedimento estero, G. SA è la società holding del gruppo C. nonché la beneficiaria economica dei conti cor- renti da cui sarebbero partiti i pagamenti corruttivi (v. complemento rogatoriale del 6 novembre 2017, pag. 1, in rubrica 1 incarto MPC), per cui, alla luce del ruolo contestatogli e della natura dei reati perseguiti, i conti a lei riconducibili risultano essere di indubbio rilievo investigativo e la relativa documentazione potenzialmente utile per il procedimento estero. Che la relazione n. 4 non sia menzionata nella rogatoria nulla toglie alla potenziale utilità della relativa docu- mentazione bancaria e il modo di procedere del MPC non presta il fianco a critiche, dato che esso è volto a garantire la celerità della procedura evitando domande complementari, in pieno ossequio dei principi giurisprudenziali elen- cati sopra al consid. 2.1. Neppure rilevante ai fini del giudizio è il fatto che l'au- torità rogante non avrebbe evidenziato transazioni concrete collegate con i fatti oggetto d’indagine all’estero. La trasmissione della documentazione litigiosa servirà proprio per portare alla luce, se del caso, eventuali operazioni sospette da ricollegare con gli accertamenti finora effettuati all’estero. Spetterà comun- que al giudice estero del merito valutare se dalla documentazione inoltrata emerge in concreto una connessione penalmente rilevante fra i fatti oggetto della procedura penale in Italia e detta documentazione. Alla luce della do- manda rogatoriale risulta che tutta la documentazione litigiosa è potenzialmente utile per l’inchiesta, motivo per cui la sua trasmissione rispetta il principio della proporzionalità e non costituisce un'inammissibile fishing expedition.</w:t>
      </w:r>
    </w:p>
    <w:p>
      <w:r>
        <w:rPr>
          <w:b/>
        </w:rPr>
        <w:t>E. 3</w:t>
      </w:r>
    </w:p>
    <w:p>
      <w:r>
        <w:t>In definitiva, la decisione impugnata va confermata e il gravame integralmente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