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 vom 23. April 2019</w:t>
      </w:r>
    </w:p>
    <w:p>
      <w:r>
        <w:t>Bundesstrafgericht, 2019-04-23, FR</w:t>
      </w:r>
    </w:p>
    <w:p>
      <w:r>
        <w:rPr>
          <w:b/>
        </w:rPr>
        <w:t xml:space="preserve">Quelle: </w:t>
      </w:r>
      <w:r>
        <w:t>https://mcp.opencaselaw.ch/entscheid/bstger_RR.2019.6</w:t>
      </w:r>
    </w:p>
    <w:p>
      <w:r>
        <w:t>FR: TPF RR.2019.6 du 23 avril 2019</w:t>
      </w:r>
    </w:p>
    <w:p>
      <w:r>
        <w:t>IT: TPF RR.2019.6 del 23 aprile 2019</w:t>
      </w:r>
    </w:p>
    <w:p>
      <w:pPr>
        <w:pStyle w:val="Heading2"/>
      </w:pPr>
      <w:r>
        <w:t>Regeste</w:t>
      </w:r>
    </w:p>
    <w:p>
      <w:r>
        <w:t>Entraide judiciaire internationale en matière pénale aux Emirats Arabes Unis. Déni de justice/Retard injustifié (art. 46a PA).</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les Emirats Arabes Unis, étant donné qu’aucun traité international ne régit les relations entre la Suisse et ledit Etat dans ce domaine.</w:t>
      </w:r>
    </w:p>
    <w:p>
      <w:r>
        <w:t>- 5 -</w:t>
      </w:r>
    </w:p>
    <w:p>
      <w:r>
        <w:rPr>
          <w:b/>
        </w:rPr>
        <w:t>E. 1.2</w:t>
      </w:r>
    </w:p>
    <w:p>
      <w:r>
        <w:t>En vertu de l’art. 37 al. 2 let. a LOAP (RS 173.71), mis en relation avec les art. 25 al. 1 et 80e al. 1 EIMP, la Cour des plaintes de ce tribunal est compétente pour connaître des recours dirigés contre les décisions de clôture de la procédure d’entraide rendues par l’autorité fédérale ou cantonale d’exécution. Le recours devant la Cour de céans est également ouvert pour déni de justice et retard injustifié (art. 46a PA; ZIMMERMANN, La coopération judiciaire internationale, 5ème éd. 2019, n° 497 p. 533 et les références citées).</w:t>
      </w:r>
    </w:p>
    <w:p>
      <w:r>
        <w:rPr>
          <w:b/>
        </w:rPr>
        <w:t>E. 1.3</w:t>
      </w:r>
    </w:p>
    <w:p>
      <w:r>
        <w:t>Le recours pour déni de justice ou retard injustifié peut être formé en tout temps (art. 50 al. 2 PA).</w:t>
      </w:r>
    </w:p>
    <w:p>
      <w:r>
        <w:rPr>
          <w:b/>
        </w:rPr>
        <w:t>E. 1.4</w:t>
      </w:r>
    </w:p>
    <w:p>
      <w:r>
        <w:t>Aux termes de l’art. 80h let. b EIMP, la qualité pour recourir en matière d’entraide est reconnue à celui qui est personnellement et directement touché par une mesure d’entraide et qui a un intérêt digne de protection à ce qu’elle soit annulée ou modifiée. L’art. 9a let. a OEIMP reconnaît au titulaire d’un compte bancaire la qualité pour recourir contre la remise à l’Etat requérant d’information relative à ce compte (v. ATF 137 IV 134 consid. 5; 118 Ib 547 consid. 1d). A en outre qualité pour agir celui qui reproche à l’autorité d’exécution d’avoir tardé à statuer (ZIMMERMANN, op. cit., n° 535; arrêt du Tribunal pénal fédéral RR.2012.41 du 2 août 2012 consid. 2.2).</w:t>
      </w:r>
    </w:p>
    <w:p>
      <w:r>
        <w:t>En tant que titulaire des relations bancaires séquestrées, personne visée par la procédure d’entraide et reprochant à l’autorité d’exécution son retard à rendre une décision de clôture, le recourant dispose de la qualité pour recourir.</w:t>
      </w:r>
    </w:p>
    <w:p>
      <w:r>
        <w:rPr>
          <w:b/>
        </w:rPr>
        <w:t>E. 1.5</w:t>
      </w:r>
    </w:p>
    <w:p>
      <w:r>
        <w:t>Au vu des considérants qui précèdent, le recours est recevable; il y a par conséquent lieu d’entrer en matière.</w:t>
      </w:r>
    </w:p>
    <w:p>
      <w:r>
        <w:rPr>
          <w:b/>
        </w:rPr>
        <w:t>E. 2</w:t>
      </w:r>
    </w:p>
    <w:p>
      <w:r>
        <w:t>Le recourant invoque à la fois un déni de justice et un regard injustifié du MP-GE. Il soutient que le délai de deux ans concernant la présente procédure d’entraide, délai durant lequel l’autorité n’aurait ni statué ni pris de véritables mesures visant à aboutir à une décision de clôture, excéderait largement ce qui saurait être considéré comme une limite raisonnable (act. 1, p. 24).</w:t>
      </w:r>
    </w:p>
    <w:p>
      <w:r>
        <w:rPr>
          <w:b/>
        </w:rPr>
        <w:t>E. 2.1</w:t>
      </w:r>
    </w:p>
    <w:p>
      <w:r>
        <w:t>Le retard injustifié à statuer est une forme particulière du déni de justice prohibé par l’art. 29 al. 1 Cst. et l’art. 6 par. 1 de la Convention de sauvegarde des droits de l’homme et des libertés fondamentales du 4 novembre 1950 (CEDH; RS 101; qui n’offre à cet égard pas une protection plus étendue [ATF 103 V 190 consid. 2 p. 192]). Il y a retard injustifié à statuer lorsque l’autorité</w:t>
      </w:r>
    </w:p>
    <w:p>
      <w:r>
        <w:t>- 6 -</w:t>
      </w:r>
    </w:p>
    <w:p>
      <w:r>
        <w:t>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citées). Entre autres critères sont notamment déterminants le degré de complexité de l’affaire, l’enjeu que revêt le litige pour l’intéressé ainsi que le comportement de ce dernier et celui des autorités compétentes (ATF 130 I 312 consid. 5.2 p. 332; 125 V 188 consid. 2a p. 191). Il est en outre de jurisprudence constante que celui qui s’apprête à déposer un recours pour déni de justice ou retard injustifié contre une autorité doit en avertir cette dernière pour que celle-ci ait l’occasion de statuer rapidement (ATF 126 V 244 consid. 2d; 125 V 373 consid. 2b/aa).</w:t>
      </w:r>
    </w:p>
    <w:p>
      <w:r>
        <w:rPr>
          <w:b/>
        </w:rPr>
        <w:t>E. 2.2</w:t>
      </w:r>
    </w:p>
    <w:p>
      <w:r>
        <w:t>En matière d’entraide, l’art. 17a EIMP impose à l’autorité compétente de traiter les demandes avec célérité et de statuer sans délai. Le législateur a toutefois renoncé à prescrire un délai d’ordre pour la liquidation des affaires, mais l’Office fédéral devrait demander des renseignements à l’autorité d’exécution si celle-ci n’a pas décidé de l’admissibilité de la demande dans les deux mois dès sa saisine. Il est plus difficile d’évaluer le délai raisonnablement nécessaire pour l’exécution proprement dite de la demande, laquelle peut prendre du temps si l’autorité doit ordonner de nombreuses mesures de contrainte. Passé un délai de six mois cependant, l’Office fédéral doit demander des explications (ZIMMERMANN, op. cit., n° 245 p. 259).</w:t>
      </w:r>
    </w:p>
    <w:p>
      <w:r>
        <w:rPr>
          <w:b/>
        </w:rPr>
        <w:t>E. 2.3</w:t>
      </w:r>
    </w:p>
    <w:p>
      <w:r>
        <w:t>Le séquestre doit également rester proportionné dans la durée. Il ne saurait se prolonger indéfiniment. Passé un certain délai imparti à l’Etat requérant pour compléter la demander et donner les moyens de statuer à l’autorité d’exécution, celle-ci lève la mesure de contrainte et rejette la demande. Le critère décisif pour évaluer la proportionnalité du séquestre relativement à sa durée, est celui de l’avancement de la procédure pénale dans l’Etat requérant: si les faits, objectivement considérés, démontrent la volonté des autorités étrangères d’aller de l’avant, le séquestre sera maintenu; à défaut, il sera levé. L’autorité d’exécution ou de recours peut demander des renseignements à l’Etat requérant sur l’état de la procédure de confiscation, voire l’inviter à faire diligence, le cas échéant en lui fixant un délai pour agir, au-delà duquel le séquestre doit être levé. L’intérêt national lié à la préservation de l’image de la Suisse sur la scène internationale pèse en faveur du maintien du séquestre; mais au-delà d’un certain laps de temps, il ne contrebalance plus l’intérêt privé lié au droit de disposer des objets et valeurs saisis; la restriction au droit de propriété non seulement ne répond plus à l’intérêt public, mais devient disproportionnée (ZIMMERMANN, op. cit., n°721 p. 794-795 et la jurisprudence citée).</w:t>
      </w:r>
    </w:p>
    <w:p>
      <w:r>
        <w:t>- 7 -</w:t>
      </w:r>
    </w:p>
    <w:p>
      <w:r>
        <w:rPr>
          <w:b/>
        </w:rPr>
        <w:t>E. 2.4.1</w:t>
      </w:r>
    </w:p>
    <w:p>
      <w:r>
        <w:t>En l’espèce, le MP-GE est entré en matière sur la demande d’entraide par décision du 24 février 2017. Le même jour il a ordonné la saisie conservatoire des avoirs et la production de la documentation bancaire à la banque Crédit Suisse SA. Cette dernière a transmis le 8 mars 2017 la documentation demandée. Entre le 27 février 2017 et le 8 juin 2017, le recourant a adressé six courriers au MP-GE, afin d’exprimer son souhait d’être entendu par le procureur, et afin d’exposer les motifs qui, selon lui, devraient conduire l’autorité d’exécution à refuser l’entraide requise. Le MP-GE s’est tout d’abord déterminé sur la question de l’audition en date du 5 avril 2017, en indiquant que l’EIMP ne prévoit pas ce type d’audition informelle sollicité par le recourant, et qu’il était dès lors obligé de la décliner. Il l’a en revanche informé de la possibilité d’être entendu au stade de la procédure de tri de la documentation (dossier MP-GE, classeur 16). Par courrier du 26 juin 2017, le MP-GE a ensuite invité le recourant à se déterminer sur la transmission des pièces saisies, en lui indiquant qu’il pouvait consulter le dossier et que la décision de clôture serait notifiée sous deux mois, sauf acceptation d’une exécution simplifiée (dossier MP-GE, classeur 2, D.). Le recourant s’est déterminé les 5, 21 juillet et 16 août 2017, en maintenant son opposition à la transmission des documents visés par l’entraide, et en faisant parvenir un avis de droit d’un avocat sis à Dubaï, lequel représente l’une des personnes visées par la demande d’entraide et qui serait emprisonnée arbitrairement aux EAU. L’avis de droit a ainsi pour but de démontrer la détention illégale subie dans l’Etat requérant et les moyens illicites et illégitimes adoptés tels que pressions, menaces et extorsion (act. 1.28).</w:t>
      </w:r>
    </w:p>
    <w:p>
      <w:r>
        <w:rPr>
          <w:b/>
        </w:rPr>
        <w:t>E. 2.4.2</w:t>
      </w:r>
    </w:p>
    <w:p>
      <w:r>
        <w:t>En réponse au pli de l’OFJ du 6 septembre 2017 concernant le sort réservé à la commission rogatoire présentée par l’Etat de RAS Al-Khaimah (dossier MP-GE, classeur 2, A.), le MP-GE lui a fait part, le 11 septembre 2017, des oppositions présentées par les personnes visées par la demande, notamment les pressions, aveux forcés invoqués, ainsi que l’existence d’un jugement condamnatoire déjà rendu par l’Etat requérant à l’encontre des personnes visées par la commission rogatoire. Il a dès lors sollicité de l’OFJ la confirmation que l’entraide pouvait être accordée sans réserve à l’Etat requérant (dossier MP-GE, classeur 2, A.). Par courriel du 25 janvier 2018, l’OFJ a invité le MP-GE à n’entreprendre aucune démarche concernant ce dossier, dès lors qu’il venait de solliciter l’avis du Département fédéral des affaires étrangères pour qu’il évalue la situation des EAU et celle de la commission rogatoire en question (act. 10.2). L’OFJ a ensuite coordonné les démarches et sollicité l’avis du Département fédéral des affaires étrangères, lequel a rendu un premier rapport en mai 2018, puis un rapport complémentaire en juillet 2018 sur demande de l’OFJ. Ce dernier a ensuite informé le recourant par courrier du 8 janvier 2019 qu’une décision relative à</w:t>
      </w:r>
    </w:p>
    <w:p>
      <w:r>
        <w:t>- 8 -</w:t>
      </w:r>
    </w:p>
    <w:p>
      <w:r>
        <w:t>la demande des EAU allait prochainement être rendue, que l’avis et la coordination de plusieurs autorités de différents départements avaient été nécessaires en raison de la complexité du cas (act. 9.4). Le 28 février 2019, l’OFJ a informé le MP-GE que suite à de longues discussions avec la Direction du Droit international public du Département fédéral des affaires étrangères, il venait de demander aux EAU des garanties au sens de l’art. 80p EIMP et qu’un délai au 30 avril 2019 avait été imparti à l’autorité requérante pour déclarer si elle accepte ou refuse les conditions posées par la Suisse (act. 14.1).</w:t>
      </w:r>
    </w:p>
    <w:p>
      <w:r>
        <w:rPr>
          <w:b/>
        </w:rPr>
        <w:t>E. 2.4.3</w:t>
      </w:r>
    </w:p>
    <w:p>
      <w:r>
        <w:t>Force est dès lors de constater que, contrairement aux affirmations du recourant, le MP-GE n’est pas resté inactif pas plus qu’il n’aurait accompli aucun acte d’instruction pendant deux ans. Il a immédiatement entrepris les premières démarches dès qu’il a été chargé par l’OFJ de l’exécution de la commission rogatoire. Il a ensuite continuellement répondu aux demandes du recourant. Arrivé à la fin de la procédure d’exécution et suite aux nombreux courriers du recourant dénonçant les agissements illicites des EAU, il a requis de l’OFJ la garantie que l’entraide pouvait être accordée à cet Etat. C’est uniquement sur consigne de l’OFJ, l’invitant à ne plus entreprendre aucune démarche dans le cadre de ce dossier avant d’avoir clarifié la situation, que le MP-GE a suspendu ses activités. L’OFJ a par la suite lui-même informé le recourant, le 8 janvier 2019, que ces questions avaient dû être traitées par plusieurs autorités de différents Départements, au vu de la complexité du cas, et qu’une coordination entre les différentes autorités avait dès lors été nécessaire afin prendre une décision concernant cette procédure d’entraide. Il est dès lors surprenant que, quelques jours après avoir reçu ledit courrier – indiquant que c’est précisément suite aux informations transmises par le recourant concernant la procédure aux EAU et la complexité de ce cas qu’une concertation d’autres départements avait été nécessaire pour se déterminer sur la requête des EAU – le recourant dépose un recours pour déni de justice et retard injustifié. De plus et conformément à la jurisprudence précitée (cf. supra consid. 2.1), il incombait au recourant d’avertir le MP-GE de son intention de déposer un recours pour déni de justice et retard injustifié, afin que ce dernier ait la possibilité de se prononcer. Certes, par courrier du 23 juillet 2018 il a requis du MP-GE qu’une décision de clôture et de levée des séquestres soit rendue d’ici au 31 août 2018. Cependant, suite à la réponse défavorable de l’autorité le 7 août 2018, le recourant n’a entrepris aucune démarche. Au contraire, il a continué de transmettre au MP-GE les documents lui paraissant important, et n’a plus requis de décision de clôture ou de levée de séquestre.</w:t>
      </w:r>
    </w:p>
    <w:p>
      <w:r>
        <w:rPr>
          <w:b/>
        </w:rPr>
        <w:t>E. 2.4.4</w:t>
      </w:r>
    </w:p>
    <w:p>
      <w:r>
        <w:t>Par conséquent, au vu des circonstances particulières du cas d’espèce, et du fait que tant l’OFJ que le MP-GE aient continuellement entrepris des</w:t>
      </w:r>
    </w:p>
    <w:p>
      <w:r>
        <w:t>- 9 -</w:t>
      </w:r>
    </w:p>
    <w:p>
      <w:r>
        <w:t>démarches afin que la procédure puisse avancer, l’on ne saurait reprocher au MP-GE une inactivité dans cette affaire. Il a au contraire pris en compte les remarques du recourant et requis l’avis de l’OFJ afin de s’assurer du bienfondé de la demande d’entraide. C’est suite aux démarches entreprises par l’OFJ et à ses injonctions que le MP-GE a attendu la communication de l’OFJ afin de savoir comment clôturer la demande d’entraide émise par les EAU. L’on ne saurait ainsi retenir un déni de justice ou un retard injustifié à statuer de la part du MP-GE dans le cas d’espèce.</w:t>
      </w:r>
    </w:p>
    <w:p>
      <w:r>
        <w:rPr>
          <w:b/>
        </w:rPr>
        <w:t>E. 3</w:t>
      </w:r>
    </w:p>
    <w:p>
      <w:r>
        <w:t>Il s’ensuit que le recours, mal fondé, doit être rejeté.</w:t>
      </w:r>
    </w:p>
    <w:p>
      <w:r>
        <w:rPr>
          <w:b/>
        </w:rPr>
        <w:t>E. 4</w:t>
      </w:r>
    </w:p>
    <w:p>
      <w:r>
        <w:t>Vu l’issue du litige, les frais de procédure comprenant l’émolument d’arrêté, les émoluments de chancellerie et les débours sont mis à la charge des parties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 à CHF 4'000.-- (v. art. 8 al. 3 du règlement du Tribunal pénal fédéral sur les frais, émoluments, dépens et indemnités de la procédure pénale fédérale du 31 août 2010 [RFPPF; RS 173.713.162] et art. 63 al. 5 PA),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