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RR.2019.59 vom 6. Mai 2019</w:t>
      </w:r>
    </w:p>
    <w:p>
      <w:r>
        <w:t>Bundesstrafgericht, 2019-05-06, FR</w:t>
      </w:r>
    </w:p>
    <w:p>
      <w:r>
        <w:rPr>
          <w:b/>
        </w:rPr>
        <w:t xml:space="preserve">Quelle: </w:t>
      </w:r>
      <w:r>
        <w:t>https://mcp.opencaselaw.ch/entscheid/bstger_RR.2019.59</w:t>
      </w:r>
    </w:p>
    <w:p>
      <w:r>
        <w:t>FR: TPF RR.2019.59 du 6 mai 2019</w:t>
      </w:r>
    </w:p>
    <w:p>
      <w:r>
        <w:t>IT: TPF RR.2019.59 del 6 maggio 2019</w:t>
      </w:r>
    </w:p>
    <w:p>
      <w:pPr>
        <w:pStyle w:val="Heading2"/>
      </w:pPr>
      <w:r>
        <w:t>Regeste</w:t>
      </w:r>
    </w:p>
    <w:p>
      <w:r>
        <w:t>Entraide judiciaire internationale en matière pénale à l'Espagne. Remise de moyens de preuve (art. 74 EIMP).</w:t>
      </w:r>
    </w:p>
    <w:p>
      <w:pPr>
        <w:pStyle w:val="Heading2"/>
      </w:pPr>
      <w:r>
        <w:t>Erwägungen</w:t>
      </w:r>
    </w:p>
    <w:p>
      <w:r>
        <w:rPr>
          <w:b/>
        </w:rPr>
        <w:t>E. 1.1</w:t>
      </w:r>
    </w:p>
    <w:p>
      <w:r>
        <w:t>La Confédération suisse et le Royaume d’Espagne sont tous deux parties à la Convention européenne d’entraide judiciaire en matière pénale (CEEJ; RS 0.351.1). Les art. 48 ss de la Convention d’application de l’Accord Schengen du 14 juin 1985 (CAAS; n° CELEX 42000A0922(02); Journal officiel de l’Union européenne L 239 du 22 septembre 2000, p. 19 à 62) s’appliquent également à l’entraide pénale entre ces deux Etats. Peut également s’appliquer en l’occurrence la Convention du Conseil de l’Europe relative au blanchiment, au dépistage, à la saisie et à la confiscation des produits du crime (CBI; RS 0.311.53). Les dispositions de ces traités l’emportent sur le droit autonome qui régit la matière, soit la loi fédérale sur</w:t>
      </w:r>
    </w:p>
    <w:p>
      <w:r>
        <w:t>- 4 -</w:t>
      </w:r>
    </w:p>
    <w:p>
      <w:r>
        <w:t>l’entraide internationale en matière pénale (EIMP; RS 351.1) et son ordonnance d’exécution (OEIMP; RS 351.11). Le droit interne reste toutefois applicable aux questions non réglées explicitement ou implicitement par le traité et lorsqu’il est plus favorable à l’entraide (ATF 142 IV 20 consid. 3; 140 IV 123 consid. 2; 137 IV 33 consid. 2.2.2; 136 IV 82 consid. 3.1; arrêt du Tribunal pénal fédéral RR.2010.9 du 15 avril 2010 consid. 1.3), ce qui est valable aussi dans le rapport entre elles des normes internationales (v. art. 48 ch. 2 CAAS et 39 ch. 2 CBI).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l’autorité cantonale ou fédérale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Le délai de recours contre la décision de clôture est de 30 jours dès la communication écrite de celle-ci (art. 80k EIMP). Déposé à un bureau de poste suisse le 25 février 2019, le recours est intervenu en temps utile.</w:t>
      </w:r>
    </w:p>
    <w:p>
      <w:r>
        <w:rPr>
          <w:b/>
        </w:rPr>
        <w:t>E. 1.4.1</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118 Ib 547 consid. 1d). La qualité pour agir est exceptionnellement reconnue à l’ayant droit économique d’une société titulaire de compte lorsque celle-ci a été dissoute, sous réserve de l’abus de droit. Il appartient dans ce cas à l’ayant droit de prouver la liquidation, documents officiels à l’appui (ATF 123 II 153 consid. 2c et d; arrêt du Tribunal pénal fédéral RR.2015.14 du 11 février 2015 et les références citées). Le fait que la société liquidée l’ait été en faveur de l’ayant droit économique est essentiel pour juger de la recevabilité du recours (arrêt du Tribunal fédéral 1C_440/2011 du 17 octobre 2011 consid. 1.5), raison pour laquelle la qualité pour recourir ne sera reconnue audit ayant droit que si l’acte de dissolution indique clairement ce dernier comme le bénéficiaire de la société dissoute (arrêts du Tribunal fédéral 1C_183/2012 du 12 avril 2012 consid. 1.5; 1C_161/2011 du 11 avril 2011 consid. 1.3.1 et les références citées).</w:t>
      </w:r>
    </w:p>
    <w:p>
      <w:r>
        <w:t>- 5 -</w:t>
      </w:r>
    </w:p>
    <w:p>
      <w:r>
        <w:rPr>
          <w:b/>
        </w:rPr>
        <w:t>E. 1.4.2</w:t>
      </w:r>
    </w:p>
    <w:p>
      <w:r>
        <w:t>La société G. SA – titulaire des comptes bancaires objet de la décision querellée – ayant été liquidée au bénéfice de A., ce dernier a qualité pour déposer le présent recours.</w:t>
      </w:r>
    </w:p>
    <w:p>
      <w:r>
        <w:rPr>
          <w:b/>
        </w:rPr>
        <w:t>E. 2</w:t>
      </w:r>
    </w:p>
    <w:p>
      <w:r>
        <w:t>Le recourant invoque une violation du principe de la proportionnalité. Il estime que le compte de G. SA ouvert auprès de H. SA ne présente aucun intérêt pour la poursuite des faits incriminés tels que décrits dans la demande d’entraide. Au contraire, la documentation produite démontrerait que A. aurait utilisé ce compte essentiellement pour des investissements dans le marché des devises (FOREX) et divers paiements (internet, téléphone, notaire ou avocat). Admettre l’entraide constituerait dès lors une « fishing expedition » (act. 1, p. 19).</w:t>
      </w:r>
    </w:p>
    <w:p>
      <w:r>
        <w:rPr>
          <w:b/>
        </w:rPr>
        <w:t>E. 2.1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242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w:t>
      </w:r>
    </w:p>
    <w:p>
      <w:r>
        <w:t>- 6 -</w:t>
      </w:r>
    </w:p>
    <w:p>
      <w:r>
        <w:t>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5ème éd. 2019, n° 723 s.).</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 accusée dans l’Etat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rPr>
          <w:b/>
        </w:rPr>
        <w:t>E. 2.2</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 9 mai 2018 consid. 4.2).</w:t>
      </w:r>
    </w:p>
    <w:p>
      <w:r>
        <w:t>- 7 -</w:t>
      </w:r>
    </w:p>
    <w:p>
      <w:r>
        <w:rPr>
          <w:b/>
        </w:rPr>
        <w:t>E. 2.3</w:t>
      </w:r>
    </w:p>
    <w:p>
      <w:r>
        <w:t>Selon la commission rogatoire des autorités espagnoles du 30 mai 2018, deux filiales du groupe C. au Mexique auraient versé $ 2'500'000.-- sur un compte au nom de la société panaméenne I. auprès de l’ancienne banque J. à Genève, ceci à l’époque de l’attribution du marché à C., soit fin 2007. Le bénéficiaire effectif de la société panaméenne serait le recourant. Ce paiement aurait été destiné au paiement de la commission pour l’attribution irrégulière du marché public dont l’objet était la construction et l’exploitation d’une nouvelle ligne ferroviaire en Espagne (cf. supra, A). Depuis ce compte détenu par I. auraient été effectués de nombreux virements en faveur de la société des Iles Vierges Britanniques E. Inc., titulaire du compte objet de la décision de clôture, et dont le bénéficiaire effectif serait dès lors à nouveau le recourant et son épouse (dossier MP-GE, classeur vert, onglet « Requête / Admissibilité »). Le recourant serait ainsi l’ayant-droit économique de plusieurs comptes bancaires ayant reçu des virements issus du paiement de $ 2'500'000.-- effectué fin 2007. Le recourant confirme lui-même que la société C. lui a versé le montant de $ 2'500'000.-- sur un compte bancaire ouvert au nom de la société I., dont il est le titulaire et bénéficiaire économique. Il aurait traité ces versements comme constituant le montant de sa rémunération (act. 1, p. 19).</w:t>
      </w:r>
    </w:p>
    <w:p>
      <w:r>
        <w:rPr>
          <w:b/>
        </w:rPr>
        <w:t>E. 2.4</w:t>
      </w:r>
    </w:p>
    <w:p>
      <w:r>
        <w:t>Le lien entre le compte bancaire de G. SA dont le recourant est l’ayant-droit économique et l’enquête espagnole est dès lors évident et les données y relatives présentent manifestement un intérêt pour l’autorité requérante, d’autant plus qu’elle a sollicité expressément ces informations, après les avoir elle-même identifiées. Par conséquent, l’argument selon lequel ces données ne présentent aucun intérêt pour l’enquête étrangère et que leur transmission constituerait une « fishing expedition » doit être rejeté. Pareil constat s’impose concernant les développements du recourant relatifs à l’enquête pénale espagnole. Il indique à cet effet qu’il se serait déjà exprimé devant les autorités pénales espagnoles sur la question du versement de $ 2'500'000.--, aurait déjà indiqué qu’il avait traité les versements litigieux comme constituant le montant de sa rémunération et qu’il aurait par la suite refusé de re-transférer ce montant lorsqu’on le lui aurait demandé (act. 1, p. 14). Enfin, le fait que le recourant n’ait utilisé le compte de G. SA que pour des dépenses courantes, telles que des services de téléphonie et d’internet, de magasins divers, ou encore de frais de notaire ou d’avocat ne constitue pas un argument de nature à refuser l’entraide au vu du rôle potentiellement joué par le recourant dans l’enquête espagnole, singulièrement par le biais de sociétés dont il est l’ayant-droit économique. Il est en effet derrière de nombreuses sociétés qui auraient, selon la commission rogatoire, fait transité de l’argent aux origines illicites. Ces arguments relèvent de l’argumentation à décharge sur le fond de la procédure étrangère, laquelle, de jurisprudence constante, n’a pas sa place dans le cadre de la procédure</w:t>
      </w:r>
    </w:p>
    <w:p>
      <w:r>
        <w:t>- 8 -</w:t>
      </w:r>
    </w:p>
    <w:p>
      <w:r>
        <w:t>d’entraide. L’examen desdits griefs incombe au juge pénal étranger et non pas à l’autorité de l’entraide. Il n’appartient pas à la Cour de céans, dans le cadre de la procédure d’entraide, de se substituer au juge du fond de l’Etat requérant (v. ATF 132 II 81 consid. 2.1; 122 II 373 consid. 1c p. 375; 112 Ib 215 consid. 5b; 109 Ib 60 consid. 5a p. 63 et renvois; arrêt du Tribunal pénal fédéral RR.2016.155 du 24 janvier 2017 consid. 4.2.4 et références citées).</w:t>
      </w:r>
    </w:p>
    <w:p>
      <w:r>
        <w:rPr>
          <w:b/>
        </w:rPr>
        <w:t>E. 2.5</w:t>
      </w:r>
    </w:p>
    <w:p>
      <w:r>
        <w:t>Il s’ensuit que le grief relatif à la violation du principe de la proportionnalité est mal fondé et doit dès lors être rejeté.</w:t>
      </w:r>
    </w:p>
    <w:p>
      <w:r>
        <w:rPr>
          <w:b/>
        </w:rPr>
        <w:t>E. 3</w:t>
      </w:r>
    </w:p>
    <w:p>
      <w:r>
        <w:t>Le recourant invoque également une violation du principe de la spécialité et du principe de la bonne foi entre Etats. Les autorités pénales requérantes auraient, d’une part, présenté un état de fait lacunaire dans la commission rogatoire, et, d’autre part, seraient passées par la voie de l’entraide plutôt que de solliciter des informations complémentaires directement auprès du recourant. De plus, au vu des nombreuses procédures d’entraide pénale et administrative visant le recourant, il y aurait un risque que le principe de la spécialité ne soit pas respecté (act. 1, p. 21).</w:t>
      </w:r>
    </w:p>
    <w:p>
      <w:r>
        <w:rPr>
          <w:b/>
        </w:rPr>
        <w:t>E. 3.1</w:t>
      </w:r>
    </w:p>
    <w:p>
      <w:r>
        <w:t>Selon l’art. 67 al. 1 EIMP et la réserve faite par la Suisse à l’art. 2 let. b CEEJ,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(art. 3 EIMP et 2 let. a CEEJ; ATF 126 II 316 consid. 2b; 125 II 258 consid. 7a/aa; 124 II 184 consid. 4b et les arrêts cités). A contrario, les moyens de preuve et les renseignements obtenus par voie d’entraide peuvent dans l’Etat requérant être utilisés aux fins d’investigation ainsi que comme moyens de preuve dans la procédure pénale pour laquelle l’entraide a été demandée, ou dans toute autre procédure pénale, sous réserve des exceptions mentionnées.</w:t>
      </w:r>
    </w:p>
    <w:p>
      <w:r>
        <w:rPr>
          <w:b/>
        </w:rPr>
        <w:t>E. 3.2</w:t>
      </w:r>
    </w:p>
    <w:p>
      <w:r>
        <w:t>L’autorité d’exécution doit signaler à l’Etat requérant ce principe et lui rappeler les limites dans lesquelles les informations communiquées seront utilisées (v. art. 34 OEIMP). Il n’y a pas lieu de douter que celui-ci respectera le principe de la spécialité, en vertu de la présomption de fidélité au traité (ATF 110 Ib 392 consid. 5b; arrêts du Tribunal pénal fédéral RR.2009.230 du 16 février 2010 consid. 4.10; RR.2009.150 du 11 septembre 2009 consid. 3.1), qu’une violation passée ne saurait renverser (ATF 110 Ib 392 consid. 5c; 109 Ib 317 consid. 14b; 107 Ib 264 consid. 4b). En pareille hypothèse, il n’est donc pas nécessaire de demander à l’Etat requérant des garanties préalables expresses (ATF 115 Ib 373 consid. 8; 107 Ib 264</w:t>
      </w:r>
    </w:p>
    <w:p>
      <w:r>
        <w:t>- 9 -</w:t>
      </w:r>
    </w:p>
    <w:p>
      <w:r>
        <w:t>consid. 4b et les références citées; arrêts du Tribunal fédéral 1C_103/2012 du 17 février 2012 consid. 2.3; 1A.76/2000 du 17 avril 2000 consid. 3c).</w:t>
      </w:r>
    </w:p>
    <w:p>
      <w:r>
        <w:rPr>
          <w:b/>
        </w:rPr>
        <w:t>E. 3.3</w:t>
      </w:r>
    </w:p>
    <w:p>
      <w:r>
        <w:t>Il sied de relever qu’il est de jurisprudence constante que seules peuvent invoquer le principe de la spécialité les personnes courant le risque concret d’une utilisation prohibée, notamment à des fins fiscales, des renseignements transmis (arrêt du Tribunal fédéral 1C_32/2018 du 26 janvier 2018 consid. 1.3). En l’espèce, tel n’est manifestement pas le cas du recourant, domicilié en Suisse. Il invoque à l’appui de ce grief faire l’objet de nombreuses procédures d’entraide pénales et administratives le visant directement ou indirectement, entre lesquelles existeraient des liens. Or le fait que la voie de l’entraide soit sollicitée tant sur le plan administratif que pénal tend plutôt à démontrer que le principe de la spécialité est respecté, et qu’il n’y a pas de transmission spontanée des autorités pénales aux autorités fiscales, ou vice-versa. Le recourant ne démontre dans tous les cas pas concrètement que tel ait été le cas. Il présente ainsi uniquement ses inquiétudes au vu des nombreuses procédures le visant directement ou indirectement. Or un risque purement théorique n’est pas suffisant. De plus, et conformément à ce qui a déjà été indiqué (cf. supra consid. 2.3 et 2.4), les documents bancaires du recourant sont manifestement en lien avec l’enquête espagnole, de sorte qu’il est légitime pour l’autorité requérante de les solliciter, afin d’identifier dans leur ensemble les mouvements litigieux. Il n’est dès lors pas surprenant, au vu de l’état de fait présenté, que l’autorité requérante s’intéresse aux comptes bancaires détenus par le recourant et ayant potentiellement recueillis des virements illicites.</w:t>
      </w:r>
    </w:p>
    <w:p>
      <w:r>
        <w:rPr>
          <w:b/>
        </w:rPr>
        <w:t>E. 3.4</w:t>
      </w:r>
    </w:p>
    <w:p>
      <w:r>
        <w:t>Il convient finalement de relever que l’autorité d’exécution a pris le soin, dans la décision attaquée, de réserver le principe de la spécialité en ces termes: « Ordonne l’acheminement de ces pièces à l’Etat requérant en réservant la condition de la spécialité (CEEJ: Réserves et déclarations de la Suisse, art. 2 lettres b et c ; art. 50 ch. 3 CAAS) ». Ceci paraît propre à prévenir toute utilisation abusive des renseignements transmis et ne nécessite pas de rappel plus explicite. Telle qu’elle est formulée, la réserve de la spécialité empêche l’autorité requérante d’utiliser les moyens de preuve recueillis en Suisse pour la poursuite d’infractions pour lesquelles la Suisse n’accorde pas l’entraide, en particulier pour la répression de pures infractions fiscales.</w:t>
      </w:r>
    </w:p>
    <w:p>
      <w:r>
        <w:rPr>
          <w:b/>
        </w:rPr>
        <w:t>E. 3.5</w:t>
      </w:r>
    </w:p>
    <w:p>
      <w:r>
        <w:t>Enfin, selon le principe de la bonne foi entre Etats, il n’appartient pas à l’Etat requis de remettre en cause les déclarations de l’Etat requérant, sous réserve d’éventuelles contradictions manifestes (ATF 121 I 181 consid. 2c/aa). N’est ainsi pas constitutif d’une violation du principe de la bonne foi entre Etats le fait pour un Etat de requérir des informations par le biais de l’entraide plutôt que de les demander directement auprès de la</w:t>
      </w:r>
    </w:p>
    <w:p>
      <w:r>
        <w:t>- 10 -</w:t>
      </w:r>
    </w:p>
    <w:p>
      <w:r>
        <w:t>personne concernée. D’ailleurs, si celle-ci veut coopérer, elle peut les remettre directement, en acceptant l’exécution simplifiée conformément à l’art. 80c EIMP, ce qui n’a pas été le cas du recourant.</w:t>
      </w:r>
    </w:p>
    <w:p>
      <w:r>
        <w:rPr>
          <w:b/>
        </w:rPr>
        <w:t>E. 3.6</w:t>
      </w:r>
    </w:p>
    <w:p>
      <w:r>
        <w:t>Par conséquent, le grief tiré de la violation des principes de spécialité et de la bonne foi entre Etats doit être rejeté.</w:t>
      </w:r>
    </w:p>
    <w:p>
      <w:r>
        <w:rPr>
          <w:b/>
        </w:rPr>
        <w:t>E. 4</w:t>
      </w:r>
    </w:p>
    <w:p>
      <w:r>
        <w:t>Au vu des considérants qui précèdent, le recours, mal fondé, est rejeté.</w:t>
      </w:r>
    </w:p>
    <w:p>
      <w:r>
        <w:rPr>
          <w:b/>
        </w:rPr>
        <w:t>E. 5</w:t>
      </w:r>
    </w:p>
    <w:p>
      <w:r>
        <w:t>Compte tenu de l’issue du litige, le recourant, qui succombe, supportera les frais de procédure sans pouvoir prétendre à des dépens (art. 63 al. 1 PA, applicable par renvoi de l’art. 39 al. 2 let. b LOAP). Ces frais prendront en l’espèce la forme d’un émolument qui, en application des art. 5 et 8 du règlement du Tribunal pénal fédéral du 31 août 2010 sur les frais, émoluments, dépens et indemnités de la procédure pénale fédérale (RS 173.713.162), sera fixé à CHF 3'000.--, montant couvert par l’avance de frais de CHF 5'000.-- déjà versée par le recourant. La caisse du Tribunal pénal fédéral restituera au conseil du recourant le solde par CHF 2'000.--.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