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RR.2019.58 vom 19. Juni 2019</w:t>
      </w:r>
    </w:p>
    <w:p>
      <w:r>
        <w:t>Bundesstrafgericht, 2019-06-19, IT</w:t>
      </w:r>
    </w:p>
    <w:p>
      <w:r>
        <w:rPr>
          <w:b/>
        </w:rPr>
        <w:t xml:space="preserve">Quelle: </w:t>
      </w:r>
      <w:r>
        <w:t>https://mcp.opencaselaw.ch/entscheid/bstger_RR.2019.58</w:t>
      </w:r>
    </w:p>
    <w:p>
      <w:r>
        <w:t>FR: TPF RR.2019.58 du 19 juin 2019</w:t>
      </w:r>
    </w:p>
    <w:p>
      <w:r>
        <w:t>IT: TPF RR.2019.58 del 19 giugno 2019</w:t>
      </w:r>
    </w:p>
    <w:p>
      <w:pPr>
        <w:pStyle w:val="Heading2"/>
      </w:pPr>
      <w:r>
        <w:t>Regeste</w:t>
      </w:r>
    </w:p>
    <w:p>
      <w:r>
        <w:t>Assistenza giudiziaria internazionale in materia penale alla Spagna. Consegna di mezzi di prova (art. 74 AIMP).</w:t>
      </w:r>
    </w:p>
    <w:p>
      <w:pPr>
        <w:pStyle w:val="Heading2"/>
      </w:pPr>
      <w:r>
        <w:t>Erwägungen</w:t>
      </w:r>
    </w:p>
    <w:p>
      <w:r>
        <w:rPr>
          <w:b/>
        </w:rPr>
        <w:t>E. 1</w:t>
      </w:r>
    </w:p>
    <w:p>
      <w:r>
        <w:t>e 80k AIMP. Diverso il discorso per quanto riguarda il complemento del 1° aprile 2019. Infatti, dagli atti dell'incarto risulta che la ricorrente ha concluso con la propria banca una convenzione di "fermo banca" (v. atto 5-20130304- 025752 e 025753, in rubrica 5 incarto MPC). Dato che la decisione di chiusura del 19 febbraio 2019 è stata notificata alla banca il 20 febbraio seguente (v. act. 1.5), il complemento al ricorso, datato 1° aprile 2019 (inoltrato il mede- simo giorno), è da considerarsi tardivo.</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Spagna e la Confe- derazione Svizzera sono anzitutto retti dalla Convenzione europea di assi- stenza giudiziaria in materia penale del 20 aprile 1959, entrata in vigore il 16 no- vembre 1982 per la Spagna ed il 20 marzo 1967 per la Svizzera (CEAG; RS 0.351.1), nonché dagli art. 48 e segg. della Convenzione di applicazione dell'Ac- cordo di Schengen del 14 giugno 1985 (CAS; n° CELEX 42000°0922[02]; Gior- nale ufficiale dell'Unione europea L 239 del 22 settembre 2000, pag. 19-62; testo non pubblicato nella RS ma consultabile nel fascicolo "Assistenza e estra- 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dicembre 1998 per la Spagna (CRic; RS. 0.311.53). Alle questioni che il prevalente diritto internazionale contenuto in detti trattati non regola espressamente o implicitamente, come pure quando</w:t>
      </w:r>
    </w:p>
    <w:p>
      <w:r>
        <w:t>- 4 -</w:t>
      </w:r>
    </w:p>
    <w:p>
      <w:r>
        <w:t>il diritto nazionale sia più favorevole all'assistenza rispetto a quello pattizio (co- siddetto principio di favore), si applica la legge sull'assistenza in materia penale, unitamente alla relativa ordinanza (OAIMP; RS 351.11; v. art. 1 cpv. 1 AIMP, DTF 142 IV 250 consid. 3; 140 IV 123 consid. 2; 137 IV 33 consid. 2.2.2; 136 IV 82 consid. 3.1). Il principio di favore vale anche nell'applicazione delle perti- nenti norme di diritto internazionale (v. art. 48 n. 2 CAS e 39 n. 3 CRic).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1.4.1</w:t>
      </w:r>
    </w:p>
    <w:p>
      <w:r>
        <w:t>Il termine di ricorso contro una decisione di chiusura è di trenta giorni (art. 80k AIMP). Secondo l'art. 80m cpv. 1 AIMP, l'autorità d'esecuzione e l'autorità di ricorso notificano le loro decisioni: all'avente diritto abitante in Svizzera (lett. a) e all'avente diritto residente all'estero, se ha eletto domicilio in Svizzera (lett. b). L'art. 9 OAIMP precisa che la parte, o il suo patrocinatore, che abiti all'estero deve eleggere un domicilio in Svizzera dove possano esserle fatte le notifica- zioni. In caso contrario, le notificazioni potranno essere omesse. L'art. 80n cpv.</w:t>
      </w:r>
    </w:p>
    <w:p>
      <w:r>
        <w:rPr>
          <w:b/>
        </w:rPr>
        <w:t>E. 1.4.2</w:t>
      </w:r>
    </w:p>
    <w:p>
      <w:r>
        <w:t>La decorrenza del termine di ricorso inizia, anche in assenza di una notifica formale, allorquando l'interessato ha avuto effettivamente conoscenza della de- cisione. Secondo la giurisprudenza, la comunicazione di una decisione ad un istituto bancario non vale, in sé, quale comunicazione al titolare del conto. In effetti, la banca non appare, nei confronti dell'autorità d'esecuzione, come il rap- presentante dei suoi clienti (DTF 120 Ib 183 consid. 3a). Diversa è la situazione allorquando il cliente ha dato istruzioni alla propria banca di non trasmettergli comunicazioni, adottando il sistema denominato "fermo banca". In questi casi, le comunicazioni notificate alla banca sono opponibili al cliente come se le</w:t>
      </w:r>
    </w:p>
    <w:p>
      <w:r>
        <w:t>- 5 -</w:t>
      </w:r>
    </w:p>
    <w:p>
      <w:r>
        <w:t>avesse effettivamente ricevute ed il relativo termine di ricorso inizia a decorrere dal momento in cui il cliente avrebbe ricevuto l'informazione necessaria dalla banca, se questa gliel'avesse comunicata senza ritardi (v. DTF 124 II 124 con- sid. 2d/aa e giurisprudenza citata; ZIMMERMANN, La coopération judiciaire inter- nationale en matière pénale, 5a ed. 2019, n. 538).</w:t>
      </w:r>
    </w:p>
    <w:p>
      <w:r>
        <w:rPr>
          <w:b/>
        </w:rPr>
        <w:t>E. 1.4.3</w:t>
      </w:r>
    </w:p>
    <w:p>
      <w:r>
        <w:t>Interposto tempestivamente contro la sopraccitata decisione di chiusura, il ri- corso del 22 marzo 2019 è ricevibile sotto il profilo degli art. 25 cpv. 1, 80e cpv.</w:t>
      </w:r>
    </w:p>
    <w:p>
      <w:r>
        <w:rPr>
          <w:b/>
        </w:rPr>
        <w:t>E. 1.5</w:t>
      </w:r>
    </w:p>
    <w:p>
      <w:r>
        <w:t>La ricorrente ha chiesto un termine supplementare per completare i motivi del suo gravame. Essa motiva la sua richiesta affermando, da una parte, che l’esposto dei fatti contenuto nella decisione impugnata sarebbe lacunoso e com- plesso, visto il numero di persone fisiche e giuridiche implicate; d’altra parte, essa avrebbe avuto accesso alla rogatoria solo il 21 marzo 2019 (v. act. 1, p. 11).</w:t>
      </w:r>
    </w:p>
    <w:p>
      <w:r>
        <w:rPr>
          <w:b/>
        </w:rPr>
        <w:t>E. 1.5.1</w:t>
      </w:r>
    </w:p>
    <w:p>
      <w:r>
        <w:t>Giusta l’art. 53 PA, se l’eccezionale ampiezza o le difficoltà particolari della causa lo esigono, l’autorità di ricorso accorda al ricorrente, che ne fa domanda nel ricorso altrimenti conforme ai requisiti, un congruo termine per completare i motivi; in tal caso, l’articolo 32 capoverso 2 non è applicabile.</w:t>
      </w:r>
    </w:p>
    <w:p>
      <w:r>
        <w:rPr>
          <w:b/>
        </w:rPr>
        <w:t>E. 1.5.2</w:t>
      </w:r>
    </w:p>
    <w:p>
      <w:r>
        <w:t>In concreto, occorre rilevare che la decisione impugnata, unitamente alla do- manda di assistenza del 19 settembre 2017 e al suo complemento del 19 giu- gno 2018, illustrano in maniera sufficientemente chiara i fatti oggetto del proce- dimento estero nonché il legame degli stessi con la relazione della ricorrente (v. infra consid. 3). Il fatto che quest’ultima abbia avuto accesso alla rogatoria solo in data 21 marzo 2019 è imputabile unicamente alla ricorrente, nella misura in cui, avendo concluso con la sua banca una convenzione di fermo banca, essa ha avuto una conoscenza tardiva della procedura di assistenza, segnatamente della decisione di entrata in materia del 14 settembre 2018, precisato che né quest’ultima né la decisione incidentale del 25 ottobre 2018 (v. Fatti lett. C) con- tengono un divieto d’informazione imposto dal MPC alla banca. Per tacere del fatto che, una volta a conoscenza della decisione di chiusura, la ricorrente avrebbe dovuto immediatamente contattare il MPC per richiedere tutta la docu- mentazione di cui necessitava e non aspettare sino al 21 marzo 2019 per pro- cedere in tal senso. La richiesta di un termine complementare va quindi re- spinta.</w:t>
      </w:r>
    </w:p>
    <w:p>
      <w:r>
        <w:t>- 6 -</w:t>
      </w:r>
    </w:p>
    <w:p>
      <w:r>
        <w:rPr>
          <w:b/>
        </w:rPr>
        <w:t>E. 1.6</w:t>
      </w:r>
    </w:p>
    <w:p>
      <w:r>
        <w:t>La ricorrente è titolare della relazione bancaria oggetto della decisione impu- gnata ed è di conseguenza legittimata a ricorrere (v. art. 80h lett. b AIMP e art. 9a lett. a OAIMP nonché DTF 137 IV 134 consid. 5.2.1; 130 II 162 con- sid. 1.1; 128 II 211 consid. 2.3; TPF 2007 79 consid. 1.6 pag. 82).</w:t>
      </w:r>
    </w:p>
    <w:p>
      <w:r>
        <w:rPr>
          <w:b/>
        </w:rPr>
        <w:t>E. 2</w:t>
      </w:r>
    </w:p>
    <w:p>
      <w:r>
        <w:t>La ricorrente censura la violazione del suo diritto di essere sentita, nella misura in cui essa non avrebbe né avuto accesso a tutti gli atti della procedura né po- tuto partecipare alla cernita della documentazione oggetto della decisione im- pugnata, la quale sarebbe a suo avviso carentemente motivata, dato che l’au- torità “ne s’est pas prononcée sur les éventuels arguments qu’aurait pu faire valoire la recourante et s’est bornée à constater l’existence de transferts en fa- veur de la recourante pour justifier sa décision” (v. act. 1 p. 15).</w:t>
      </w:r>
    </w:p>
    <w:p>
      <w:r>
        <w:rPr>
          <w:b/>
        </w:rPr>
        <w:t>E. 2.1</w:t>
      </w:r>
    </w:p>
    <w:p>
      <w:r>
        <w:t>Secondo la giurisprudenza, l'autorità di esecuzione, dopo aver concesso al de- tentore della documentazione la possibilità di addurre i motivi che si opporreb- 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 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 mento gli argomenti che secondo loro si opporrebbero alla consegna. Questo affinché esse possano esercitare in maniera concreta ed effettiva il loro diritto di essere sentiti (v. art. 30 cpv. 1 PA), secondo modalità di collaborazione co- munque rispettose del principio della buona fede (art. 5 cpv. 3 Cost.; KRAUS- KOPF/EMMENEGGER/BABEY, in: Waldmann/Weissenberger, Praxiskommentar VwVG, 2a ediz. 2016, n. 54 ad art. 12 PA). La cernita deve aver luogo anche qualora l'interessato rinunci ad esprimersi (DTF 130 II 14 consid. 4.3 e 4.4; 126 II 258 consid. 9b/aa pag. 262; cfr. anche DTF 127 II 151 consid. 4c/aa; ZIMMERMANN, op. cit., n. 484, 723-724; DE PREUX, L'entraide internationale en matière pénale et la lutte contre le blanchiment d'argent, in SJZ 104/2008 n. 2 pag. 34). Il diritto di essere sentito, ancorato all’art. 29 cpv. 2 Cost., viene concretizzato nell’ambito dell’assistenza giudiziaria internazionale agli art. 29 e PA richiamati all’art. 12 cpv. 1 AIMP (ZIMMERMANN, op. cit., n. 472). Esso è di natura formale (DTF 126 I 19 consid. 2d/bb pag. 24; 125 I 113 consid. 3; ALBERTINI, Der ver- fassungsmässige Anspruch auf rechtliches Gehör im Verwaltungsverfahren des</w:t>
      </w:r>
    </w:p>
    <w:p>
      <w:r>
        <w:t>- 7 -</w:t>
      </w:r>
    </w:p>
    <w:p>
      <w:r>
        <w:t>modernen Staates, 2000, pag. 449 con rinvii). Una violazione di questo diritto fondamentale da parte dell’autorità d’esecuzione non comporta comunque au- tomaticamente l’accoglimento del gravame e l’annullamento della decisione im- pugnata. Secondo la giurisprudenza e la dottrina una violazione del diritto di essere sentito può essere sanata, se la persona toccata ottiene la possibilità di esprimersi in merito davanti ad una autorità di ricorso, la quale, come nella fat- 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TPF 2007 57; ZIMMERMANN, op. cit., n. 472).</w:t>
      </w:r>
    </w:p>
    <w:p>
      <w:r>
        <w:t>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136 I 229 consid. 5.5; 121 I 54 consid. 2; 117 Ib 481 consid. 6b/bb, nonché più ampiamente ALBERTINI, op. cit.,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 sid. 4.3; 126 I 97 consid. 2b; sentenza del Tribunale federale 1B_380/2010 del 14 marzo 2011 consid. 3.2.1).</w:t>
      </w:r>
    </w:p>
    <w:p>
      <w:r>
        <w:rPr>
          <w:b/>
        </w:rPr>
        <w:t>E. 2.2</w:t>
      </w:r>
    </w:p>
    <w:p>
      <w:r>
        <w:t>Nella fattispecie, occorre innanzitutto ribadire (come già sottolineato supra al consid. 1.4.1) che l'autorità d'esecuzione non è obbligata a notificare le proprie decisioni all'estero (v. art. 80m AIMP; art. 9 OAIMP; sentenza del Tribunale fe- derale 1A.221/2002 del 25 novembre 2002 consid. 2.6). La decisione di entrata in materia del 14 settembre 2018 (v. act. 9.1) e la decisione di chiusura del 19 febbraio 2019 (v. act. 9.2) sono state correttamente notificate alla banca presso cui erano site le relazioni intestate alla ricorrente (v. DTF 136 IV 16 con- sid. 2.2). In pratica, tra le due decisioni sono trascorsi circa 5 mesi. Si tratta di un termine che doveva permettere la partecipazione da parte della ricorrente alla procedura di assistenza (v. sentenze del Tribunale penale federale RR.2014.243 del 2 dicembre 2014 consid. 3.2; RR.2012.91-92 del 18 luglio 2012 consid. 2.2). Il fatto che, nel caso concreto, al momento dell'emanazione della decisione di chiusura la ricorrente non fosse ancora informata dell'esi- stenza di richieste di misure di assistenza, né abbia avuto completo accesso agli atti e facoltà di esprimersi durante la procedura di esecuzione della com- missione rogatoria in esame, non può invalidare l'operato dell'autorità elvetica, la quale poteva in buona fede contare su una comunicazione immediata da</w:t>
      </w:r>
    </w:p>
    <w:p>
      <w:r>
        <w:t>- 8 -</w:t>
      </w:r>
    </w:p>
    <w:p>
      <w:r>
        <w:t>parte della banca al suo cliente. In ogni caso, nell'ambito della presente proce- dura di ricorso, dinanzi ad un'autorità dotata di un pieno potere cognitivo in fatto e in diritto, l'insorgente ha avuto la possibilità di consultare gli atti dell’incarto e, in sede di replica, di esprimersi sui medesimi. Pertanto, un'eventuale violazione del predetto diritto sarebbe stata comunque sanata dal presente procedimento (v. DTF 124 II 132 consid. 2d). Tanto più che la ricorrente, nei suoi memoriali, si limita ad esprimersi in maniera generica su tale questione, non spiegando per quale motivo l'asserito vizio non avrebbe potuto essere sanato, in via comunque straordinaria, nel quadro della presente procedura di ricorso (v. sentenze del Tribunale federale 1C_486/2008 dell'11 novembre 2008 consid. 2.2 e 2.3; 1A.160/2003 del 10 settembre 2003 consid. 2.1, 2.2 e 2.3). Per il resto, l’autorità d’esecuzione ha sufficientemente illustrato le ragioni alla base della decisione impugnata, evidenziando in maniera chiara i punti di contatto della relazione bancaria della ricorrente con i fatti oggetto d’indagine all’estero. In definitiva, tutte le censure presentate in questo ambito vanno respinte.</w:t>
      </w:r>
    </w:p>
    <w:p>
      <w:r>
        <w:rPr>
          <w:b/>
        </w:rPr>
        <w:t>E. 3</w:t>
      </w:r>
    </w:p>
    <w:p>
      <w:r>
        <w:t>L’insorgente sostiene che la decisione impugnata violerebbe il principio della proporzionalità, nella misura in cui la rogatoria non menzionerebbe né lei né la sua relazione bancaria. La documentazione litigiosa sarebbe a suo avviso inu- tile per il procedimento estero e l’autorità d’esecuzione sarebbe andata oltre quanto richiesto dall’autorità rogante, violando anche il divieto della ricerca in- determinata di mezzi di prova. Il MPC avrebbe dovuto procedere ad una cernita sulla base di parole chiave e trasmettere, semmai, solo quella documentazione relativa all’imputato e alle società che, secondo l’autorità estera, avrebbero tra- sferito il prodotto delle infrazioni in Svizzera, ossia F. e G.</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w:t>
      </w:r>
    </w:p>
    <w:p>
      <w:r>
        <w:t>- 9 -</w:t>
      </w:r>
    </w:p>
    <w:p>
      <w:r>
        <w:t>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che le autorità debbano inoltrare en- tuali domande complementari (DTF 136 IV 82 consid. 4.1; 121 II 241 consid. 3; sentenza del Tribunale federale 1C_486/2008 dell'11 novembre 2008 con- sid. 2.4; sentenza del Tribunale penale federale RR.2011.113 del 28 luglio 2011 consid. 4.2), con evidente intralcio alle esigenze di celerità (v. anche art. 17a cpv. 1 AIMP). In base alla giurisprudenza l'esame da parte delle autorità di ese- 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 creti a sostegno dello stesso (DTF 125 II 65 consid. 6b/aa pag. 73 e rinvii). Questo modo di procedere non è consentito in ambito di assistenza internazio- 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tutte le condizioni per concedere l'assistenza siano comunque adempiute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w:t>
      </w:r>
    </w:p>
    <w:p>
      <w:r>
        <w:t>- 10 -</w:t>
      </w:r>
    </w:p>
    <w:p>
      <w:r>
        <w:t>si può ragionevolmente attribuire alla domanda rogatoriale, rispettivamente non presentano nessun interesse per la procedura estera.</w:t>
      </w:r>
    </w:p>
    <w:p>
      <w:r>
        <w:rPr>
          <w:b/>
        </w:rPr>
        <w:t>E. 3.2</w:t>
      </w:r>
    </w:p>
    <w:p>
      <w:r>
        <w:t>In concreto, come evidenziato dal MPC, dall’analisi della documentazione con- cernente la relazione della ricorrente emerge che la stessa, il 31 ottobre 2013, è stata accreditata di USD 830'375.– provenienti dalla relazione n. 2 presso la banca H. SA, Lugano, intestata alla società I. LLC (v. act. 9.5). Note interne della banca evidenziano inoltre contatti dell’avente diritto economico della rela- zione bancaria della ricorrente con D., I. LLC ed esponenti del governo pana- mense, e per tale ragione da sorvegliare in maniera speciale (v. ibidem). La documentazione agli atti attesta inoltre che il denaro giunto dalla relazione n. 2 proveniva da un conto bancario di J. SA presso la banca H. SA (v. act. 9.6), a sua volta destinatario di accrediti da parte di K., C. SA Panama e D. per opera- zioni collegate con la realizzazione della “linea 1” del metro di Panama (v. act. 9.7). In questo senso i beni patrimoniali presenti sulla relazione della ricorrente possono essere collegati con l’attività corruttiva oggetto delle indagini estere, per cui l’utilità della documentazione litigiosa è certamente data.</w:t>
      </w:r>
    </w:p>
    <w:p>
      <w:r>
        <w:t>Spetterà comunque al giudice estero del merito valutare se dalla documenta- zione inoltrata emerge in concreto una connessione penalmente rilevante fra i fatti oggetto della procedura penale in Spagna e detta documentazione. Alla luce della domanda rogatoriale risulta che tutta la documentazione litigiosa è potenzialmente utile per l’inchiesta, motivo per cui la sua trasmissione rispetta il principio della proporzionalità e non costituisce un'inammissibile fishing expe- dition.</w:t>
      </w:r>
    </w:p>
    <w:p>
      <w:r>
        <w:rPr>
          <w:b/>
        </w:rPr>
        <w:t>E. 4</w:t>
      </w:r>
    </w:p>
    <w:p>
      <w:r>
        <w:t>In sede di replica la ricorrente ha ribadito le censure da lei presentate tardiva- mente con il complemento al ricorso del 1° aprile 2019 (v. supra consid. 1.4.3) relative alla violazione dei principi della doppia punibilità e del processo equo, quest’ultima derivante dalle asserite ripetute violazioni del suo diritto di essere sentito.</w:t>
      </w:r>
    </w:p>
    <w:p>
      <w:r>
        <w:rPr>
          <w:b/>
        </w:rPr>
        <w:t>E. 4.1</w:t>
      </w:r>
    </w:p>
    <w:p>
      <w:r>
        <w:t>Secondo l’art. 32 PA, prima di decidere, l’autorità apprezza tutte le allegazioni rilevanti prodotte dalla parte in tempo utile (cpv. 1). Essa può tener conto delle allegazioni tardive che sembrino decisive.</w:t>
      </w:r>
    </w:p>
    <w:p>
      <w:r>
        <w:rPr>
          <w:b/>
        </w:rPr>
        <w:t>E. 4.2</w:t>
      </w:r>
    </w:p>
    <w:p>
      <w:r>
        <w:t>In concreto, tenuto conto di quanto già espresso in precedenza relativamente al diritto di essere sentito della ricorrente (v. supra consid. 1.4), nonché del fatto che l’autorità rogante conduce all’estero un procedimento penale per corruzione e riciclaggio di denaro (v. anche supra Fatti lett. A), per cui il principio della doppia punibilità, con riferimento agli art. 322ter e segg. nonché 305bis CP, risulta certamente ossequiato, le allegazioni tardive proposte, non decisive, non pos- sono essere prese in considerazione.</w:t>
      </w:r>
    </w:p>
    <w:p>
      <w:r>
        <w:t>- 11 -</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