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RR.2019.57 vom 14. August 2019</w:t>
      </w:r>
    </w:p>
    <w:p>
      <w:r>
        <w:t>Bundesstrafgericht, 2019-08-14, DE</w:t>
      </w:r>
    </w:p>
    <w:p>
      <w:r>
        <w:rPr>
          <w:b/>
        </w:rPr>
        <w:t xml:space="preserve">Quelle: </w:t>
      </w:r>
      <w:r>
        <w:t>https://mcp.opencaselaw.ch/entscheid/bstger_RR.2019.57</w:t>
      </w:r>
    </w:p>
    <w:p>
      <w:r>
        <w:t>FR: TPF RR.2019.57 du 14 août 2019</w:t>
      </w:r>
    </w:p>
    <w:p>
      <w:r>
        <w:t>IT: TPF RR.2019.57 del 14 agosto 2019</w:t>
      </w:r>
    </w:p>
    <w:p>
      <w:pPr>
        <w:pStyle w:val="Heading2"/>
      </w:pPr>
      <w:r>
        <w:t>Regeste</w:t>
      </w:r>
    </w:p>
    <w:p>
      <w:r>
        <w:t>Internationale Rechtshilfe in Strafsachen an Österreich. Ausdehnung der Spezialität (Art. 67 Abs. 2 IRSG).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der zwischen den beiden Staaten abge- schlossene Vertrag vom 13. Juni 1972 über die Ergänzung des EUeR und die Erleichterung seiner Anwendung (Zusatzvertrag; SR 0.351.916.32) so- wie die Bestimmungen der Art. 48 ff. des Übereinkommens vom 19. Ju- ni 1990 zur Durchführung des Übereinkommens von Schengen vom 14. Juni 1985 (Schengener Durchführungsübereinkommen, SDÜ; ABl. L 239 vom 22. September 2000, S. 19 – 62) massgebend. Für die Rechtshilfe zwischen Rumänien und der Schweiz ist ebenso das EUeR, daneben zusätzlich das II. Zusatzprotokoll vom 8. November 2001 zum Europäischen Übereinkom- men über die Rechtshilfe in Strafsachen (SR 0.351.12; Zweites Zusatzpro- tokoll) massgebend. Überdies gelangen im Verhältnis zu beiden Staaten die Bestimmungen des Übereinkommens vom 8. November 1990 über Geldwä- scherei sowie Ermittlung, Beschlagnahme und Einziehung von Erträgen aus Straftaten (Geldwäschereiübereinkommen, GwUe; SR 0.311.53) zur Anwen- dung.</w:t>
      </w:r>
    </w:p>
    <w:p>
      <w:r>
        <w:t>- 4 -</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Das innerstaatliche Recht gilt nach dem Günstigkeits- prinzip auch dann, wenn dieses geringere Anforderungen an die Rechtshilfe stellt (BGE 142 IV 250 E. 3; 140; 123 E. 1.1 S. 26). Vorbehalten bleibt die Wahrung der Menschenrechte (BGE 135 IV 212 E. 2.3; 123 II 595 E. 7c).</w:t>
      </w:r>
    </w:p>
    <w:p>
      <w:r>
        <w:t>Auf Beschwerdeverfahren in internationalen Rechtshilfeangelegenheiten sind zudem die Bestimmungen des Bundesgesetzes vom 20. Dezem- ber 1968 über das Verwaltungsverfahren (VwVG; SR 172.021) anwendbar (Art. 39 Abs. 2 lit. b i.V.m. Art. 37 Abs. 2 lit. a StBOG), wenn das IRSG nichts anderes bestimmt (siehe Art. 12 Abs. 1 IRSG).</w:t>
      </w:r>
    </w:p>
    <w:p>
      <w:r>
        <w:rPr>
          <w:b/>
        </w:rPr>
        <w:t>E. 2.1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i.V.m. Art. 19 Abs. 1 BStGerOR). Der Entscheid des Beschwerde- gegners, mit welchem er einer Weiterverwendung von Auskünften in einem anderen Verfahren zustimmt, stellt eine nach Art. 25 Abs. 1 IRSG anfecht- bare Verfügung dar (BBl 1995 III 24; Entscheid des Bundesstrafgerichts RR.2010.225 vom 16. Oktober 2012 E. 1.2.2. f.).</w:t>
      </w:r>
    </w:p>
    <w:p>
      <w:r>
        <w:t>Die Beschwerdefrist beträgt 30 Tage ab der schriftlichen Eröffnung des Ent- scheids (Art. 12 Abs. 1 IRSG i.V.m. Art. 50 Abs. 1 VwVG; Art. 80k IRSG). Die Beschwerdefrist gemäss Art. 80k IRSG beginnt zu laufen, sobald der Betroffene von einer auf ihn bezugnehmenden Verfügung tatsächlich Kennt- nis erhält, selbst wenn ihm gegenüber eine formelle Eröffnung nicht erfolgt ist. Dies ist grundsätzlich der Fall, wenn eine Rechtshilfeverfügung einer Bank zugestellt wird, die Bank ihren Kunden über den Erlass der Verfügung informiert und dieser Gelegenheit hat, sich ohne Verzug den Text der Verfü- gung bei der Bank zu besorgen (BGE 124 II 124 E. 2d/aa; 120 Ib 183 E. 3a/b; ZIMMERMANN, La coopération judiciare internationale en matière pénale,</w:t>
      </w:r>
    </w:p>
    <w:p>
      <w:r>
        <w:rPr>
          <w:b/>
        </w:rPr>
        <w:t>E. 2.2</w:t>
      </w:r>
    </w:p>
    <w:p>
      <w:r>
        <w:t>Vorab ist festzuhalten, dass die Beschwerdeführerin ohne Weiteres zur Be- schwerdeerhebung legitimiert ist, da sich die Verfügung auf die Weiterleitung von Unterlagen betreffend ein auf die Beschwerdeführerin lautendes Bank- konto bezieht.</w:t>
      </w:r>
    </w:p>
    <w:p>
      <w:r>
        <w:t>Mit Bezug auf die Einhaltung der Beschwerdefrist gilt festzustellen, dass die Beschwerdeführerin im Ausland ansässig ist und – soweit ersichtlich – bis zum Erlass der angefochtenen Verfügung kein Zustelldomizil in der Schweiz angezeigt hat. Der Beschwerdegegner eröffnete die Verfügung entspre- chend nur der betroffenen Bank (vgl. act. 9.10 Mitteilungssatz). Die Verfü- gung wurde der Bank C. am 20. Februar 2019 zugestellt (act. 9.11). Die Be- schwerdeführerin macht geltend, die Bank habe am 21. Februar 2019 ihren Vermögensverwalter über die Verfügung in Kenntnis gesetzt (act. 1 S. 3). Dem Schreiben der Bank C. vom 5. März 2019 ist zu entnehmen, dass diese die Beschwerdeführerin mit Schreiben vom 20. Februar 2019 über die Ver- fügung informiert und der Beschwerdeführerin die betreffende Verfügung am 27. Februar 2019 zugestellt habe (act. 1.3). Wird mit der Beschwerdeführerin davon ausgegangen, dass zwischen ihr und der Bank C. keine Banklagernd- Vereinbarung besteht (vgl. act. 1 S. 3), was auch vom Beschwerdegegner nicht behauptet wird, hat die Beschwerdefrist mit Zustellung der Verfügung an die Beschwerdeführerin am 27. Februar 2019 zu laufen begonnen. Die am 25. März 2019 erhobene Beschwerde erweist sich als fristgerecht. Auf die Beschwerde ist daher einzutreten.</w:t>
      </w:r>
    </w:p>
    <w:p>
      <w:r>
        <w:t>3. Die Schweiz hat sich zu Art. 2 EUeR das Recht vorbehalten, Rechtshilfe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Dieser Vorbehalt bringt das in Art. 67 Abs. 1 IRSG verankerte Spezialitätsprinzip zum Ausdruck. Demnach</w:t>
      </w:r>
    </w:p>
    <w:p>
      <w:r>
        <w:t>- 6 -</w:t>
      </w:r>
    </w:p>
    <w:p>
      <w:r>
        <w:t>dürfen die durch Rechtshilfe erhaltenen Auskünfte und Schriftstücke im er- suchenden Staat in Verfahren wegen Taten, bei denen Rechtshilfe nicht zu- lässig ist, weder für Ermittlungen benützt noch als Beweismittel verwendet werden. Eine weitere Verwendung bedarf der Zustimmung des BJ (Art. 67 Abs. 2 IRSG).</w:t>
      </w:r>
    </w:p>
    <w:p>
      <w:r>
        <w:t>Soweit rechtshilfeweise von der Schweiz erhaltene Unterlagen an einen Drittstaat weitergeleitet werden sollen, hat das BJ das entsprechende Ersu- chen um Bewilligung der Weiterleitung an den Drittstaat so zu prüfen, als ob sich dieser direkt an die Schweiz um Herausgabe der Beweismittel gewendet hätte (Entscheid des Bundesstrafgerichts RR.2009.214 vom 5. Oktober 2009 E. 2 i.f.). Vorliegend ist somit das Ersuchen der rumänischen Behörden an Österreich derart zu prüfen, als ob jene das Ersuchen direkt an die Schweiz gerichtet hätten.</w:t>
      </w:r>
    </w:p>
    <w:p>
      <w:r>
        <w:t>4. 4.1 Die Beschwerdeführerin macht in einem ersten Punkt geltend, der Grundsatz «ne bis in idem» werde dadurch verletzt, dass im Ersuchen E. als Beschul- digter aufgeführt werde, obwohl er im rumänischen Strafverfahren als Kron- zeuge agiert habe und ihm in diesem Zusammenhang Straffreiheit gewährt worden sei (act. 1 S. 8 f.).</w:t>
      </w:r>
    </w:p>
    <w:p>
      <w:r>
        <w:t>4.2 Der Grundsatz «ne bis in idem» besagt, dass niemand wegen der gleichen Tat zweimal strafrechtlich verfolgt werden darf (sog. Doppelverfolgungsver- bot). Er ist verletzt, wenn in Bezug auf die auf den Verfahrensgegenstand, die betroffene Person und die Tat Identität besteht (BGE 120 IV 10 E. 2b). Der Grundsatz «ne bis in idem» ergibt sich aus Art. 4 des Protokolls Nr. 7 zur EMRK vom 22. November 2018 (SR 0.101.07) sowie Art. 14 Abs. 7 UNO- Pakt II (SR 0.103.2). Er gilt nach der Praxis des Bundesgerichts ausserdem als Grundsatz des Bundesstrafrechts und lässt sich direkt aus der Bundes- verfassung ableiten (vgl. BGE 137 I 363 E. 2.1; 128 II 355 E. 5.2). Als Pro- zessmaxime ist er auch in der Strafprozessordnung verankert (Art. 11 StPO).</w:t>
      </w:r>
    </w:p>
    <w:p>
      <w:r>
        <w:t>Das EUeR sieht keine Ablehnung der Rechtshilfe wegen des Grundsatzes «ne bis in idem» vor. Die Schweiz hat jedoch zu Art. 2 lit. a EUeR einen Vorbehalt erklärt. Danach behalt sie sich das Recht vor, die Rechtshilfe auch dann abzulehnen, wenn wegen der dem Ersuchen zu Grunde liegenden Handlung gegen denselben Beschuldigten in der Schweiz ebenfalls ein Strafverfahren durchgeführt wird oder eine strafrechtliche Entscheidung er- gangen ist, mit der diese Tat und seine Schuld materiell beurteilt worden sind (vgl. auch Art. 5 Abs. 1 lit. a und Art. 66 Abs. 1 IRSG). Dabei handelt es sich</w:t>
      </w:r>
    </w:p>
    <w:p>
      <w:r>
        <w:t>- 7 -</w:t>
      </w:r>
    </w:p>
    <w:p>
      <w:r>
        <w:t>um eine «Kann-Bestimmung», weshalb nach der Rechtsprechung die Leis- tung von Rechtshilfe selbst dann möglich ist, wenn die darin umschriebenen Voraussetzungen erfüllt sind (Urteile des Bundesgerichts 1C_605/2015 vom 24. November 2015 E. 1.2. m.w.H.; 6B_690/2018 vom 17. Januar 2019 E. 1.4 letzter Absatz).</w:t>
      </w:r>
    </w:p>
    <w:p>
      <w:r>
        <w:t>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 zen, wenn die Strafsache, für welche die Schweiz um Rechtshilfe ersucht wird, bereits Gegenstand eines Strafverfahrens nicht in der Schweiz als er- suchten Staat, sondern im ersuchenden Staat oder in einem dritten Staat war oder ist (Urteil des Bundesgerichts 1A.142/1999 vom 30. August 1999 E. 4). Die betreffende Person wird beim zuständigen Sachrichter die Rüge des Verbots der Doppelbestrafung erheben können (Urteil des Bundesge- richts 1A.142/1999 vom 30. August 1999 E. 4b).</w:t>
      </w:r>
    </w:p>
    <w:p>
      <w:r>
        <w:t>4.3 Die Beschwerdeführerin macht vorliegend nicht geltend, selbst in der Schweiz Beschuldigte eines Strafverfahrens zu sein. Sie vermag dies auch nicht für Dritte geltend machen (BGE 137 IV 134 E. 5.2.2.). Ohnehin kann Rechtshilfe für ein ausländisches Strafverfahren geleistet werden, wenn sich das ausländische Verfahren auch gegen andere Personen richtet (Art. 66 Abs. 2 IRSG). Dies ist vorliegend offensichtlich der Fall (vgl. act. 12.2), wo- rauf die Beschwerdeführerin selbst hinweist (act. 1 S.8). Die Rüge geht damit fehl.</w:t>
      </w:r>
    </w:p>
    <w:p>
      <w:r>
        <w:rPr>
          <w:b/>
        </w:rPr>
        <w:t>E. 5</w:t>
      </w:r>
    </w:p>
    <w:p>
      <w:r>
        <w:t>Aufl. 2019, N. 537). Hat der von der Verfügung betroffene Kontoinhaber mit seiner Bank eine Vereinbarung über die banklagernde Korrespondenz abgeschlossen und den Rechtshilfebehörden keine Zustelladresse in der</w:t>
      </w:r>
    </w:p>
    <w:p>
      <w:r>
        <w:t>- 5 -</w:t>
      </w:r>
    </w:p>
    <w:p>
      <w:r>
        <w:t>Schweiz notifiziert, gilt die Rechtshilfeverfügung im Zeitpunkt der Entgegen- nahme durch die Bank grundsätzlich als eröffnet (BGE 124 II 124 E. 2; ZIM- MERMANN, a.a.O., N. 538).</w:t>
      </w:r>
    </w:p>
    <w:p>
      <w:r>
        <w:t>Zur Beschwerdeführung ist berechtigt, wer persönlich und direkt von der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rPr>
          <w:b/>
        </w:rPr>
        <w:t>E. 5.1</w:t>
      </w:r>
    </w:p>
    <w:p>
      <w:r>
        <w:t>Die Beschwerdeführerin rügt sodann eine Verletzung des Verhältnismässig- keitsprinzips. Gestützt auf das ursprüngliche rumänische Ersuchen sei ledig- lich der Zeitraum von 2004 bis 2008 relevant. Im Nachtragsersuchen werde sodann um Herausgabe von vorhandenen Unterlagen im Zusammenhang mit der Beschwerdeführerin zu genau einer einzigen Transaktion im Jahr 2004 ersucht (act. 1 S. 9 f.; act. 9 S. 3 ff.).</w:t>
      </w:r>
    </w:p>
    <w:p>
      <w:r>
        <w:rPr>
          <w:b/>
        </w:rPr>
        <w:t>E. 5.2</w:t>
      </w:r>
    </w:p>
    <w:p>
      <w:r>
        <w:t>Rechtshilfemassnahmen haben generell dem Prinzip der Verhältnismässig- keit zu genügen (siehe statt vieler den Entscheid des Bundesstrafgerichts RR.2017.125 vom 30. Oktober 2017, E. 3.2). Die internationale Zusammen- arbeit kann nur abgelehnt werden, wenn die verlangten Unterlagen mit der</w:t>
      </w:r>
    </w:p>
    <w:p>
      <w:r>
        <w:t>- 8 -</w:t>
      </w:r>
    </w:p>
    <w:p>
      <w:r>
        <w:t>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Gemäss Sachverhalt des rumänischen Rechtshilfeersuchens vom 3. De- zember 2013 kann zusammengefasst entnommen werden, dass die B. GmbH am 15. April 2004 mit der rumänischen Regierung einen Software- Lizenzvertrag und in den nachfolgenden Jahren bis 2008 ergänzende Zu- satzverträge abgeschlossen haben soll, welche die Ausstattung von rumäni- schen staatlichen Stellen mit Microsoft-Produkten zum Gegenstand gehabt</w:t>
      </w:r>
    </w:p>
    <w:p>
      <w:r>
        <w:t>- 9 -</w:t>
      </w:r>
    </w:p>
    <w:p>
      <w:r>
        <w:t>hätten. Zu diesem Zweck habe die B. GmbH am 29. Dezember 2013 mit der F. AG und nach deren Auflösung im Jahre 2007 mit der Unternehmung G. am 18. September 2008 je einen Beratungs- und Dienstleistungsvertrag ab- geschlossen. Der rumänische Staat habe der B. GmbH in den Jahren 2004 bis 2008 insgesamt USD 43.7 Mio. überwiesen, ohne dass die B. GmbH je- doch die vertraglich vereinbarten Dienstleistungen erbracht habe. Die vom rumänischen Staat geleisteten Beträge sollen auf Konten der F. AG und der Unternehmung G. einbezahlt worden und von dort auf Konten diverser Offs- hore-Gesellschaften, wie unter anderem der H. Ltd., weitergeleitet worden sein. Vom Konto der H. Ltd. seien in der Folge USD 1.25 Mio. auf das Konto der Beschwerdeführerin überwiesen worden (act. 9.3).</w:t>
      </w:r>
    </w:p>
    <w:p>
      <w:r>
        <w:rPr>
          <w:b/>
        </w:rPr>
        <w:t>E. 5.4</w:t>
      </w:r>
    </w:p>
    <w:p>
      <w:r>
        <w:t>Die an die rumänischen Behörden zu übermittelnden Dokumente beziehen sich genau auf den im Ersuchen dargelegten Sachverhalt (vgl. insbesondere die Schlussverfügung vom 8. August 2013, act. 9.3), weshalb sie für das ausländische Strafverfahren als potentiell erheblich einzustufen sind. Dass die rumänischen Behörden die Herausgabe von Unterlagen ersucht habe, die sich einzig auf eine Transaktion, nämlich diejenige von der H. Ltd. an die Beschwerdeführerin, beziehe, ergibt sich nicht aus dem Ersuchen Rumäni- ens vom 3. Dezember 2011 und schon gar nicht aus demjenigen vom 25. Januar 2018, welches lediglich darauf hinweist, dass Rumänien nach wie vor am ursprünglichen Ersuchen festhält. Es entspricht im Übrigen der Recht- sprechung, dass die Behörden des ersuchenden Staates grundsätzlich alle sichergestellten Aktenstücke zu übermitteln haben, welche sich auf den im Ersuchen dargelegten Verdacht beziehen können. Dies gerade dann, wenn das Rechtshilfeersuchen, wie vorliegend, auf die Ermittlung abzielt, auf wel- chem Weg Geldmittel mutmasslich strafbarer Herkunft verschoben wurden. In diesem Zusammenhang ist darauf hinzuweisen, dass ein angeblicher De- liktszeitraum den Zeitraum der zu erhebenden Unterlagen denn auch nicht einfach einschränkt. Insbesondere können Dokumente, welche die Verflech- tung zwischen zahlreichen Unternehmen belegen, unabhängig ihres Datums potentiell erheblich sein. Ebenso können Unterlagen, die Kontobewegungen zu Inhalt haben, nach dem Deliktszeitraum für die vollständige Rekonstruk- tion der mutmasslich deliktischen Geldflüsse massgeblich sein. Mit Bezug auf den Einwand der Beschwerdeführerin, das rumänische Ersuchen datiere vom 28. Januar 2018, womit nicht belegt sei, dass Rumänien heute noch ein Interesse an der Herausgabe der Bankunterlagen habe (act. 9 S. 8), ist fest- zuhalten, dass ein Rechtshilfeersuchen zu vollziehen ist, solange es vom ersuchenden Staat nicht zurückgezogen worden ist (vgl. Urteil des Bundes- gerichts 1C_559/2009 vom 11. Februar 2010 E. 1, mit Hinweisen).</w:t>
      </w:r>
    </w:p>
    <w:p>
      <w:r>
        <w:t>- 10 -</w:t>
      </w:r>
    </w:p>
    <w:p>
      <w:r>
        <w:t>Eine Verletzung des Verhältnismässigkeitsprinzips kann nicht ausgemacht werden.</w:t>
      </w:r>
    </w:p>
    <w:p>
      <w:r>
        <w:rPr>
          <w:b/>
        </w:rPr>
        <w:t>E. 6</w:t>
      </w:r>
    </w:p>
    <w:p>
      <w:r>
        <w:t>Soweit die Beschwerdeführerin schliesslich die Verjährung der in Rumänien vorgeworfenen Straftaten rügt (act. 1 S. 10), ist sie darauf hinzuweisen, dass die Verjährung im Rechtshilfeverkehr zwischen Vertragsstaaten des EUeR infolge Fehlens einer ausdrücklichen Regelung im EUeR – was gemäss höchstrichterlicher Rechtsprechung als qualifiziertes Schweigen interpretiert wird – materiell nicht zu prüfen ist (BGE 136 IV 4 E. 6.3; 117 Ib 53 E. 3 S. 64; Urteil des Bundesgerichts 1C_511/2012 vom 17. Oktober 2012 E. 2.3; statt vieler: Entscheid des Bundesstrafgerichts RR.2018.305 vom 4. Feb- ruar 2019 E. 4.2 m.w.H).</w:t>
      </w:r>
    </w:p>
    <w:p>
      <w:r>
        <w:rPr>
          <w:b/>
        </w:rPr>
        <w:t>E. 7</w:t>
      </w:r>
    </w:p>
    <w:p>
      <w:r>
        <w:t>Zusammenfassend ist festzuhalten, dass sich die Beschwerde in allen Punk- ten als unbegründet erweist, weshalb sie vollumfänglich abzuweisen ist.</w:t>
      </w:r>
    </w:p>
    <w:p>
      <w:r>
        <w:rPr>
          <w:b/>
        </w:rPr>
        <w:t>E. 8</w:t>
      </w:r>
    </w:p>
    <w:p>
      <w:r>
        <w:t>Bei diesem Ausgang des Verfahrens sind die Gerichtskosten der Beschwer- deführerin aufzuerlegen (Art. 63 Abs. 1 VwVG). Die Gerichtsgebühr ist auf Fr. 3'000.-- festzusetzen (Art. 63 Abs. 5 VwVG i.V.m. Art. 73 StBOG sowie Art. 5 und 8 Abs. 3 lit. a BStKR), unter Anrechnung des geleisteten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