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RR.2019.53 vom 7. Mai 2019</w:t>
      </w:r>
    </w:p>
    <w:p>
      <w:r>
        <w:t>Bundesstrafgericht, 2019-05-07, DE</w:t>
      </w:r>
    </w:p>
    <w:p>
      <w:r>
        <w:rPr>
          <w:b/>
        </w:rPr>
        <w:t xml:space="preserve">Quelle: </w:t>
      </w:r>
      <w:r>
        <w:t>https://mcp.opencaselaw.ch/entscheid/bstger_RR.2019.53</w:t>
      </w:r>
    </w:p>
    <w:p>
      <w:r>
        <w:t>FR: TPF RR.2019.53 du 7 mai 2019</w:t>
      </w:r>
    </w:p>
    <w:p>
      <w:r>
        <w:t>IT: TPF RR.2019.53 del 7 maggio 2019</w:t>
      </w:r>
    </w:p>
    <w:p>
      <w:pPr>
        <w:pStyle w:val="Heading2"/>
      </w:pPr>
      <w:r>
        <w:t>Regeste</w:t>
      </w:r>
    </w:p>
    <w:p>
      <w:r>
        <w:t>Internationale Rechtshilfe in Strafsachen an Russland. Herausgabe von Beweismitteln (Art. 74 IRSG). Kostenvorschuss (Art. 63 Abs. 4 VwVG).</w:t>
      </w:r>
    </w:p>
    <w:p>
      <w:pPr>
        <w:pStyle w:val="Heading2"/>
      </w:pPr>
      <w:r>
        <w:t>Erwägungen</w:t>
      </w:r>
    </w:p>
    <w:p>
      <w:r>
        <w:rPr>
          <w:b/>
        </w:rPr>
        <w:t>E. 21</w:t>
      </w:r>
    </w:p>
    <w:p>
      <w:r>
        <w:t>März 2019 eine Frist bis zum 1. April 2019 zur Leistung eines Kostenvor- schusses in der Höhe von Fr. 8‘000.-- ansetzte (act. 3);</w:t>
      </w:r>
    </w:p>
    <w:p>
      <w:r>
        <w:t>- mit Schreiben vom 1. April 2019 die Beschwerdeführer über ihren gemein- samen Rechtsvertreter erklären liessen, der Kostenvorschuss sei bereits an- fangs letzter Woche überwiesen worden; sie vorsorglicherweise um eine Fristersterstreckung bis 12. April 2019 ersuchten mit der Begründung, dass Überweisungen aus Russland in die Schweiz einerseits Zeit brauchen und andererseits gelegentlich nicht sofort ausgeführt würden (act. 4);</w:t>
      </w:r>
    </w:p>
    <w:p>
      <w:r>
        <w:t>- in der Folge die Frist zur Leistung des Kostenvorschusses letztmals bis 12. April 2019 erstreckt wurde (act. 4);</w:t>
      </w:r>
    </w:p>
    <w:p>
      <w:r>
        <w:t>- die Frist zur Bezahlung eines Kostenvorschusses gewahrt ist, wenn der Be- trag rechtzeitig zu Gunsten der Behörde der Schweizerischen Post überge- ben oder einem Post- oder Bankkonto in der Schweiz belastet worden ist (Art. 39 Abs. 2 lit. b StBOG i.V.m. Art. 21 Abs. 3 VwVG); die Rechtzeitigkeit im Zweifelsfall vom Pflichtigen zu beweisen ist;</w:t>
      </w:r>
    </w:p>
    <w:p>
      <w:r>
        <w:t>- die Beschwerdeführer den ihnen auferlegten Kostenvorschuss innert er- streckter Frist nicht (und auch nicht bis dato) bezahlt haben (act. 10);</w:t>
      </w:r>
    </w:p>
    <w:p>
      <w:r>
        <w:t>- 3 -</w:t>
      </w:r>
    </w:p>
    <w:p>
      <w:r>
        <w:t>- auf die Beschwerde daher androhungsgemäss nicht einzutreten ist (Art. 39 Abs. 2 lit. b StBOG i.V.m. Art. 63 Abs. 4 VwVG);</w:t>
      </w:r>
    </w:p>
    <w:p>
      <w:r>
        <w:t>- die Beschwerdeführer bei diesem Ausgang des Verfahrens kostenpflichtig werden (Art. 39 Abs. 2 lit. b StBOG i.V.m. Art. 63 Abs. 1 VwVG); - für die Berechnung der Gerichtsgebühr gemäss Art. 63 Abs. 5 VwVG i.V.m. Art. 73 StBOG das Reglement des Bundesstrafgerichts über die Kosten, Ge- bühren und Entschädigungen in Bundesstrafverfahren vom 31. August 2010 (BStKR; SR 173.713.162) zur Anwendung gelangt (vgl. auch Art. 22 Abs. 3 BStKR); - die Gerichtsgebühr vorliegend auf Fr. 600.-- festzusetzen ist (vgl. Art. 8 BStKR).</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