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RR.2019.51 vom 21. Mai 2019</w:t>
      </w:r>
    </w:p>
    <w:p>
      <w:r>
        <w:t>Bundesstrafgericht, 2019-05-21, IT</w:t>
      </w:r>
    </w:p>
    <w:p>
      <w:r>
        <w:rPr>
          <w:b/>
        </w:rPr>
        <w:t xml:space="preserve">Quelle: </w:t>
      </w:r>
      <w:r>
        <w:t>https://mcp.opencaselaw.ch/entscheid/bstger_RR.2019.51</w:t>
      </w:r>
    </w:p>
    <w:p>
      <w:r>
        <w:t>FR: TPF RR.2019.51 du 21 mai 2019</w:t>
      </w:r>
    </w:p>
    <w:p>
      <w:r>
        <w:t>IT: TPF RR.2019.51 del 21 maggio 2019</w:t>
      </w:r>
    </w:p>
    <w:p>
      <w:pPr>
        <w:pStyle w:val="Heading2"/>
      </w:pPr>
      <w:r>
        <w:t>Regeste</w:t>
      </w:r>
    </w:p>
    <w:p>
      <w:r>
        <w:t>Assistenza giudiziaria internazionale in materia penale all'India. Sequestro di valori (art. 80e cpv. 2 lett. a AIMP). Effetto sospensivo (art. 80l AIMP).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 virtù dell'art. 37 cpv. 2 lett. a della legge federale del 19 marzo 2010 sull'organizzazione delle autorità penali della Confederazione (LOAP; RS 173.71), la Corte dei reclami penali giudica i gravami in materia di assi- stenza giudiziaria internazionale.</w:t>
      </w:r>
    </w:p>
    <w:p>
      <w:r>
        <w:rPr>
          <w:b/>
        </w:rPr>
        <w:t>E. 1.2</w:t>
      </w:r>
    </w:p>
    <w:p>
      <w:r>
        <w:t>I rapporti di assistenza giudiziaria in materia penale fra l’India e la Confedera- zione Svizzera sono anzitutto retti dallo scambio di lettere del 20 febbraio 1989 tra i due Paesi concernente l’assistenza giudiziaria in materia penale (RS 0.351.942.3), entrato in vigore il 20 febbraio 1989 (cfr. DTF 122 II 140 consid. 2).</w:t>
      </w:r>
    </w:p>
    <w:p>
      <w:r>
        <w:t>Alle questioni che il prevalente diritto internazionale contenuto in detto scambio di lettere non regola espressamente o implicitamente, come pure quando il di- ritto nazionale sia più favorevole all'assistenza rispetto a quello pattizio (cosid- detto principio di favore), si applicano la legge federale sull'assistenza interna- zionale in materia penale del 20 marzo 1981 (AIMP; RS 351.1), unitamente alla relativa ordinanza (OAIMP; RS 351.11; v. art. 1 cpv. 1 AIMP; DTF 142 IV 250 consid. 3; 140 IV 123 consid. 2; 137 IV 33 consid. 2.2.2; 136 IV 82 consid. 3.1). È fatto salvo il rispetto dei diritti fondamentali (DTF 135 IV 212 consid. 2.3; 123 II 595 consid. 7c).</w:t>
      </w:r>
    </w:p>
    <w:p>
      <w:r>
        <w:rPr>
          <w:b/>
        </w:rPr>
        <w:t>E. 1.3</w:t>
      </w:r>
    </w:p>
    <w:p>
      <w:r>
        <w:t>Il ricorso è stato tempestivamente interposto contro una decisione di edizione e di blocco di un conto bancario dell'autorità federale d'esecuzione (v. art. 80k AIMP). Le decisioni incidentali anteriori alla decisione di chiusura possono es- sere impugnate separatamente se causano un pregiudizio immediato e irrepa- rabile mediante il sequestro di beni e valori oppure la presenza di persone che</w:t>
      </w:r>
    </w:p>
    <w:p>
      <w:r>
        <w:t>- 4 -</w:t>
      </w:r>
    </w:p>
    <w:p>
      <w:r>
        <w:t>partecipano al processo (art. 80e cpv. 2 AIMP). Titolare della relazione oggetto della decisione impugnata, la società ricorrente dispone della legittimazione ri- corsuale (v. art. 80h lett. b AIMP e art. 9a OAIMP; DTF 118 Ib 547 consid. 1d; TPF 2007 79 consid. 1.6 pag. 82).</w:t>
      </w:r>
    </w:p>
    <w:p>
      <w:r>
        <w:rPr>
          <w:b/>
        </w:rPr>
        <w:t>E. 1.8</w:t>
      </w:r>
    </w:p>
    <w:p>
      <w:r>
        <w:t>e 1.9) e alla costruzione di una casa destinata all’avente diritto economico del suo conto (v. act. 13.2, 13.3 e 13.4). Essa non produce tuttavia alcuna do- cumentazione che permetta di chiarire la sua situazione economica, omettendo</w:t>
      </w:r>
    </w:p>
    <w:p>
      <w:r>
        <w:t>- 5 -</w:t>
      </w:r>
    </w:p>
    <w:p>
      <w:r>
        <w:t>in particolare di indicare sia i suoi redditi che il suo patrimonio, per cui a queste condizioni risulta impossibile per questa Corte valutare l’effettiva esistenza di pregiudizi immediati ed irreparabili in capo alla società. In altre parole, la ricor- rente non ha dimostrato, mediante documentazione contabile, di non disporre di altri mezzi per far fronte ai suoi impegni finanziari. Ma se ciò fosse anche stato il caso, nessuna informazione e documentazione è stata fornita nemmeno sulla situazione finanziaria dell’avente diritto economico del conto sequestrato, di cui secondo la giurisprudenza occorre parimenti tenere conto (v. sentenze del Tribunale penale federale RR.2009.155 del 7 maggio 2009 consid. 2.5 e RR.2017.50 del 2 giugno 2017 consid. 2.2), tanto più che uno degli elementi di spesa allegati riguarda proprio la costruzione di una casa destinata a quest’ul- timo. Di fronte ad un quadro finanziario così lacunoso e poco trasparente non basta allegare e documentare la sussistenza di singoli impegni finanziari, ma incombe alla ricorrente produrre tutta la documentazione necessaria per fare chiarezza sull’esistenza di un effettivo pregiudizio ai sensi della giurisprudenza sopraccitata.</w:t>
      </w:r>
    </w:p>
    <w:p>
      <w:r>
        <w:rPr>
          <w:b/>
        </w:rPr>
        <w:t>E. 2</w:t>
      </w:r>
    </w:p>
    <w:p>
      <w:r>
        <w:t>La ricorrente sostiene che la relazione oggetto della decisione impugnata è il suo unico conto bancario, il quale sarebbe utilizzato per ossequiare tutti i suoi obblighi finanziari (segnatamente in ambito di “Corporate Housekeeping”). I va- lori patrimoniali ivi depositati costituirebbero l’unica liquidità e il solo attivo della società, senza i quali essa non potrebbe espletare la propria attività. Essa af- ferma poi che l’esposto dei fatti contenuto nella domanda di assistenza sarebbe insufficiente, non emergendo il legame tra il conto litigioso e i fatti oggetto d’in- dagine all’estero, legame che in realtà non esisterebbe. A suo avviso, non sa- rebbe inoltre rispettato né il principio della doppia punibilità né quello della pro- porzionalità, per cui la domanda di assistenza dovrebbe essere respinta e il suo conto dissequestrato. In sede di replica, l’insorgente ha prodotto della docu- mentazione attestante suoi obblighi finanziari, non onorabili a causa del conte- stato blocco, derivanti da un contratto di appalto legato alla costruzione di un’abitazione a Cipro di proprietà dell’avente diritto economico del conto og- getto della decisione impugnata (v. act. 13).</w:t>
      </w:r>
    </w:p>
    <w:p>
      <w:r>
        <w:rPr>
          <w:b/>
        </w:rPr>
        <w:t>E. 2.1</w:t>
      </w:r>
    </w:p>
    <w:p>
      <w:r>
        <w:t>In base alla giurisprudenza, nel caso di ricorsi rivolti contro decisioni incidentali ai sensi dell’art. 80e cpv. 2 AIMP (v. supra consid. 1.3), spetta al ricorrente in- dicare, nel proprio atto ricorsuale, in che cosa consiste l’allegato pregiudizio e dimostrare che questo non potrebbe essere sanato mediante un giudizio che annulli, se del caso, la susseguente decisione di chiusura (DTF 130 II 329 con- sid. 2; 128 II 353 consid. 3 e rinvii). Per quanto riguarda il pregiudizio da pren- dere in considerazione, in particolare nel caso di sequestro di beni e valori, può trattarsi dell’impossibilità di adempiere delle obbligazioni contrattuali scadute (pagamento di stipendi, interessi, imposte, pretese esigibili, ecc.), del fatto di essere esposto a procedure di esecuzione o di fallimento, oppure alla revoca di un’autorizzazione amministrativa, o ancora dell’impossibilità di concludere affari vicini al loro sbocco. Il solo fatto di dover far fronte a delle spese correnti non è sufficiente, in linea di massima, a rendere verosimile un pregiudizio immediato e irreparabile ai sensi della predetta disposizione (DTF 130 II 329 consid. 2 pag. 332; sentenza del Tribunale penale federale RR.2007.43 del 16 maggio 2007 consid. 2.2 e rinvii).</w:t>
      </w:r>
    </w:p>
    <w:p>
      <w:r>
        <w:rPr>
          <w:b/>
        </w:rPr>
        <w:t>E. 2.2</w:t>
      </w:r>
    </w:p>
    <w:p>
      <w:r>
        <w:t>In concreto, la ricorrente ha prodotto documentazione attestante impegni finan- ziari legati al pagamento di onorari per l’amministrazione della società (v. act.</w:t>
      </w:r>
    </w:p>
    <w:p>
      <w:r>
        <w:rPr>
          <w:b/>
        </w:rPr>
        <w:t>E. 2.3</w:t>
      </w:r>
    </w:p>
    <w:p>
      <w:r>
        <w:t>Da quanto sopra discende che il ricorso è inammissibile già per la sola man- canza di un pregiudizio immediato e irreparabile giusta l’art. 80e cpv. 2 lett. a AIMP, il che rende superfluo l'esame delle restanti censure.</w:t>
      </w:r>
    </w:p>
    <w:p>
      <w:r>
        <w:rPr>
          <w:b/>
        </w:rPr>
        <w:t>E. 3</w:t>
      </w:r>
    </w:p>
    <w:p>
      <w:r>
        <w:t>Visto quanto precede, la richiesta di concessione dell’effetto sospensivo è divenuta priva d’oggetto.</w:t>
      </w:r>
    </w:p>
    <w:p>
      <w:r>
        <w:rPr>
          <w:b/>
        </w:rPr>
        <w:t>E. 4</w:t>
      </w:r>
    </w:p>
    <w:p>
      <w:r>
        <w:t>Le spese seguono la soccombenza (v. art. 63 cpv. 1 della legge federale sulla procedura amministrativa del 20 dicembre 1968 [PA; RS 172.021] ri- chiamato l’art. 39 cpv. 2 lett. b LOAP). La tassa di giustizia è calcolata giusta gli art. 73 cpv. 2 LOAP, 63 cpv. 4bis PA, nonché 5 e 8 cpv. 3 del regolamento del 31 agosto 2010 sulle spese, gli emolumenti, le ripetibili e le indennità della procedura penale federale (RSPPF; RS 173.713.162), ed è fissata nella fattispecie a complessivi fr. 5'000.–. Essa è coperta dall’anticipo delle spese già versato.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