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RR.2019.5 vom 20. Februar 2019</w:t>
      </w:r>
    </w:p>
    <w:p>
      <w:r>
        <w:t>Bundesstrafgericht, 2019-02-20, DE</w:t>
      </w:r>
    </w:p>
    <w:p>
      <w:r>
        <w:rPr>
          <w:b/>
        </w:rPr>
        <w:t xml:space="preserve">Quelle: </w:t>
      </w:r>
      <w:r>
        <w:t>https://mcp.opencaselaw.ch/entscheid/bstger_RR.2019.5</w:t>
      </w:r>
    </w:p>
    <w:p>
      <w:r>
        <w:t>FR: TPF RR.2019.5 du 20 février 2019</w:t>
      </w:r>
    </w:p>
    <w:p>
      <w:r>
        <w:t>IT: TPF RR.2019.5 del 20 febbraio 2019</w:t>
      </w:r>
    </w:p>
    <w:p>
      <w:pPr>
        <w:pStyle w:val="Heading2"/>
      </w:pPr>
      <w:r>
        <w:t>Regeste</w:t>
      </w:r>
    </w:p>
    <w:p>
      <w:r>
        <w:t>Internationale Rechtshilfe an die Ukraine. Herausgabe von Beweismitteln (Art. 74 IRSG).</w:t>
      </w:r>
    </w:p>
    <w:p>
      <w:pPr>
        <w:pStyle w:val="Heading2"/>
      </w:pPr>
      <w:r>
        <w:t>Erwägungen</w:t>
      </w:r>
    </w:p>
    <w:p>
      <w:r>
        <w:rPr>
          <w:b/>
        </w:rPr>
        <w:t>E. 1.1</w:t>
      </w:r>
    </w:p>
    <w:p>
      <w:r>
        <w:t>Für die Rechtshilfe zwischen der Ukraine und der Schweiz sind in erster Linie massgebend das Europäische Übereinkommen vom 20. April 1959 über die Rechtshilfe in Strafsachen (EUeR; SR 0.351.1), das hierzu ergangene zweite Zusatzprotokoll vom 8. November 2001 (ZPII EUeR; SR 0.351.12) und das Übereinkommen vom 8. November 1990 über Geldwäscherei sowie Ermittlung, Beschlagnahme und Einziehung von Erträgen aus Straftaten (GwUe; SR 0.311.53; dazu BGE 133 IV 215 E. 2; 123 II 134 E. 5b; Urteil des Bundesgerichts 1C_513/2010 vom 11. März 2011 E. 3.2).</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137 IV 33 E. 2.2.2; 135 IV 212 E. 2.3), sind das</w:t>
      </w:r>
    </w:p>
    <w:p>
      <w:r>
        <w:t>- 4 -</w:t>
      </w:r>
    </w:p>
    <w:p>
      <w:r>
        <w:t>Rechtshilfegesetz und die dazugehörige Verordnung vom 24. Februar 1982 (IRSV; SR 351.11) anwendbar (Art. 1 Abs. 1 IRSG; BGE 136 IV 82 E. 3.1; 130 II 337 E. 1). Vorbehalten bleibt die Wahrung der Menschenrechte (BGE 135 IV 212 E. 2.3; 123 II 595 E. 7c).</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25 Abs. 1 und Art. 80e Abs. 1 IRSG i.V.m. Art. 37 Abs. 2 lit. a Ziff. 1 StBOG).</w:t>
      </w:r>
    </w:p>
    <w:p>
      <w:r>
        <w:rPr>
          <w:b/>
        </w:rPr>
        <w:t>E. 2.2</w:t>
      </w:r>
    </w:p>
    <w:p>
      <w:r>
        <w:t>Die Beschwerdefrist gegen die Schlussverfügung beträgt 30 Tage ab der schriftlichen Mitteilung der Verfügung (Art. 80k IRSG). Die vorliegende Be- schwerde vom 11. Januar 2019 gegen die Schlussverfügung vom 10. De- zember 2018 wurde form- und fristgerecht eingereicht.</w:t>
      </w:r>
    </w:p>
    <w:p>
      <w:r>
        <w:rPr>
          <w:b/>
        </w:rPr>
        <w:t>E. 2.3.1</w:t>
      </w:r>
    </w:p>
    <w:p>
      <w:r>
        <w:t>Zur Beschwerde ist berechtigt, wer persönlich und direkt von einer Rechts- hilfemassnahme betroffen ist und ein schutzwürdiges Interesse an deren Aufhebung oder Änderung hat (Art. 80h lit. b IRSG). Als persönlich und direkt betroffen im Sinne von Art. 21 Abs. 3 und Art. 80h lit. b IRSG gilt bei der Hausdurchsuchung der jeweilige Eigentümer oder der Mieter, der im Besitz der sichergestellten Unterlagen war (Art. 9a lit. b IRSV; TPF 2007 79 E. 1.6 S. 82; 136 E. 3.1 und 3.3). Das Gleiche gilt nach der Rechtsprechung für Personen, gegen die unmittelbar Zwangsmassnahmen angeordnet wurden (BGE 128 II 211 E. 2.3-2.5 S. 217 ff.; 123 II 153 E. 2b S. 157, je mit Hinwei- sen). Folglich ist beispielsweise der Verfasser von Schriftstücken, welche im Besitz eines Dritten beschlagnahmt werden, nicht zur Beschwerde befugt (BGE 130 II 162 E. 1.1 S. 164; 123 II 161 E. 1d S. 164 f.; 116 Ib 106 E. 2a S. 109 ff.). Das gilt auch für Personen, auf welche sich die Unterlagen bezie-</w:t>
      </w:r>
    </w:p>
    <w:p>
      <w:r>
        <w:t>- 5 -</w:t>
      </w:r>
    </w:p>
    <w:p>
      <w:r>
        <w:t>hen oder die Eigentümer sind, sofern sie nicht selbst im Besitz der betroffe- nen Unterlagen waren und sich nicht der Hausdurchsuchung unterziehen mussten (Entscheide des Bundesstrafgerichts RR.2009.13 vom 16. März 2009 E. 2.2-2.3; RR.2007.101 vom 12. Juli 2007 E. 2.1).</w:t>
      </w:r>
    </w:p>
    <w:p>
      <w:r>
        <w:rPr>
          <w:b/>
        </w:rPr>
        <w:t>E. 2.3.2</w:t>
      </w:r>
    </w:p>
    <w:p>
      <w:r>
        <w:t>Ordnet die ausführende Behörde die rechtshilfeweise Herausgabe von Akten eines schweizerischen Strafverfahrens oder Teile davon an, vermag der Um- stand, dass in jenem Verfahren unmittelbar Zwangsmassnahmen angeord- net worden waren, per se nicht, die Legitimation der von jenen Zwangsmass- nahmen betroffenen Person zur Beschwerde im Rahmen der Rechtshilfe zu begründen (betreffend die Herausgabe von Einvernahmeprotokollen aus ei- nem nationalen Strafverfahren s. Entscheid des Bundesstrafgerichts RR.2018.75 vom 13. November 2018 E. 2.2.1). Wurden aufgrund eines schweizerischen Strafverfahrens Kontounterlagen ediert, hat das Bundesge- richt den Kontoinhaber in Bezug auf die rechtshilfeweise Herausgabe dieser Unterlagen als beschwerdelegitimiert erachtet (vgl. beispielsweise Urteil des Bundesgerichts 1A.3/2004 vom 3. Mai 2004 E. 2.2). Entsprechend hat dies auch für Unterlagen zu gelten, die Informationen enthalten, welche aus den Kontounterlagen stammen, oder Unterlagen, welche Hinweise auf das Konto enthalten. Sollen von den schweizerischen Strafakten polizeiliche Rapporte, andere im Verfahren erstellte Unterlagen oder (gerichtliche) Entscheide rechtshilfeweise herausgegeben werden, sind Personen, gegen die sich das betreffende schweizerische Verfahren richtete, mangels persönlicher und di- rekter Betroffenheit im Rechtshilfeverfahren hingegen nicht beschwerdelegi- timiert (s. Entscheid des Bundesstrafgerichts RR.2012.206 vom 19. Dezem- ber 2012 E. 2.3).</w:t>
      </w:r>
    </w:p>
    <w:p>
      <w:r>
        <w:rPr>
          <w:b/>
        </w:rPr>
        <w:t>E. 2.3.3</w:t>
      </w:r>
    </w:p>
    <w:p>
      <w:r>
        <w:t>Nicht einzutreten ist mangels eines eigenen schutzwürdigen Interesses schliesslich auf stellvertretend für einen Dritten und einzig im Interesse Drit- ter erhobene Beschwerden (BGE 128 II 211 E. 2.3 und 2.4 S. 217 ff.; Urteil des Bundesgerichts 1A.110/2002 vom 26. November 2002 E. 1.2; TPF 2007 79 E. 1.6 m.w.H.).</w:t>
      </w:r>
    </w:p>
    <w:p>
      <w:r>
        <w:rPr>
          <w:b/>
        </w:rPr>
        <w:t>E. 2.3.4</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TELLI-SONANINI/HUBER, in: Waldmann/Weissenberger [Hrsg.], VwVG-Praxis- kommentar, 2. Aufl., 2016, Art. 48 N. 5).</w:t>
      </w:r>
    </w:p>
    <w:p>
      <w:r>
        <w:rPr>
          <w:b/>
        </w:rPr>
        <w:t>E. 2.3.5</w:t>
      </w:r>
    </w:p>
    <w:p>
      <w:r>
        <w:t>Der Beschwerdeführer führt zur Begründung seiner Beschwerdelegitimation aus, er sei als Verfasser und Inhaber des Schreibens vom 2. September</w:t>
      </w:r>
    </w:p>
    <w:p>
      <w:r>
        <w:t>- 6 -</w:t>
      </w:r>
    </w:p>
    <w:p>
      <w:r>
        <w:t>2013 von der Schlussverfügung direkt und persönlich betroffen und habe so- mit ein schutzwürdiges Interesse an deren Aufhebung oder Änderung (act. 1 S. 2).</w:t>
      </w:r>
    </w:p>
    <w:p>
      <w:r>
        <w:rPr>
          <w:b/>
        </w:rPr>
        <w:t>E. 2.3.6</w:t>
      </w:r>
    </w:p>
    <w:p>
      <w:r>
        <w:t>Im Strafverfahren wurde die Sperre sämtlicher Konten der E. Ltd., F. Ltd., G. Ltd., H. Ltd., I. Ltd. und J. SA bei der Bank K. angeordnet. Bei den zu übermittelnden Unterlagen handelt es sich um zwei Vollmachterteilungen, die eine unterzeichnet durch L. als „Principal“ und die andere durch B. als wirtschaftlich Berechtigter, im Strafverfahren der Beschwerdegegnerin we- gen Geldwäscherei betreffend die Konten der vorgenannten Gesellschaften bei der Bank K. an den Beschwerdeführer in notariell beglaubigter Kopie samt Begleitschreiben des Beschwerdeführers an die Beschwerdegegnerin (RH.17.0027 05.001-0002 bis RH.17.0027 05.001-0006).</w:t>
      </w:r>
    </w:p>
    <w:p>
      <w:r>
        <w:rPr>
          <w:b/>
        </w:rPr>
        <w:t>E. 2.4</w:t>
      </w:r>
    </w:p>
    <w:p>
      <w:r>
        <w:t>Die E. Ltd., F. Ltd., G. Ltd., H. Ltd., I. Ltd. und J. SA sind somit die Vollmacht- geber. Diese Gesellschaften liessen der Beschwerdegegnerin über den Be- schwerdeführer ihre Vollmachterteilung zukommen. Sie wurden dabei nicht einer Zwangsmassnahme unterworfen. Dies gilt ebenso für die für sie unter- zeichnenden Personen sowie für den Beschwerdeführer. Weder der Be- schwerdeführer noch die Gesellschaften noch die für sie unterzeichnenden Personen können daher als Inhaber der ins Recht gelegten Vollmachten gel- ten. Die Vollmachten wurden vielmehr freiwillig und spezifisch für das Straf- verfahren zuhanden der Beschwerdegegnerin erstellt. Wie vorstehend aus- geführt, sind Personen, gegen die sich das betreffende schweizerische Ver- fahren richtete oder richtet, mangels persönlicher und direkter Betroffenheit im Rechtshilfeverfahren nicht beschwerdelegitimiert, die rechtshilfeweise Herausgabe von polizeilichen Rapporten, anderen im Verfahren erstellten Unterlagen oder (gerichtlichen) Entscheiden anzufechten (s.o.). In diesen Fällen ändert der Umstand, dass mit der Herausgabe dieser Strafakten auch die Vertretungs- bzw. Verteidigungsverhältnisse im schweizerischen Straf- verfahren gegenüber der ersuchenden Behörde offen gelegt werden, nichts an der fehlenden Beschwerdelegitimation. Folgerichtig ist die Beschwerde- legitimation ebenfalls zu verneinen, soweit die rechtshilfeweise Herausgabe ausschliesslich die Vollmachten betrifft, welche im schweizerischen Strafver- fahren ins Recht gelegt wurden. Ob der Beschwerdeführer, der im Übrigen nicht Beschuldigter im schweizerischen Strafverfahren ist, als Verfasser der fraglichen Unterlagen gelten kann oder nicht, kann offen bleiben, da nach der Rechtsprechung dies für die Bestimmung der Beschwerdelegitimation nicht relevant ist. Nach dem Gesagten kann der Beschwerdeführer durch die angefochtene Rechtshilfemassnahme nicht als direkt und persönlich betrof- fen gelten und ein schutzwürdiges Interesse an deren Aufhebung oder Än- derung ist daher zu verneinen.</w:t>
      </w:r>
    </w:p>
    <w:p>
      <w:r>
        <w:t>- 7 -</w:t>
      </w:r>
    </w:p>
    <w:p>
      <w:r>
        <w:rPr>
          <w:b/>
        </w:rPr>
        <w:t>E. 2.5</w:t>
      </w:r>
    </w:p>
    <w:p>
      <w:r>
        <w:t>Auf die Beschwerde ist demnach mangels Legitimation nicht einzutreten.</w:t>
      </w:r>
    </w:p>
    <w:p>
      <w:r>
        <w:rPr>
          <w:b/>
        </w:rPr>
        <w:t>E. 3</w:t>
      </w:r>
    </w:p>
    <w:p>
      <w:r>
        <w:t>Bei diesem Ausgang des Verfahrens wird der Beschwerdeführer kosten- 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Unter Berücksichtigung aller Umstände ist die Gebühr vorliegend auf Fr. 2‘000.-- festzusetzen und dem Beschwer- deführer aufzuerlegen, unter Anrechnung des entsprechenden Betrages aus dem geleisteten Kostenvorschuss in der Höhe von Fr. 5‘000.-- (Art. 63 Abs. 4bis VwVG; Art. 5 und 8 Abs. 3 BStKR). Die Bundesstrafgerichtskasse ist anzuweisen, dem Beschwerdeführer den Restbetrag von Fr. 3‘000.-- zu- 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