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RR.2019.45 vom 17. Mai 2019</w:t>
      </w:r>
    </w:p>
    <w:p>
      <w:r>
        <w:t>Bundesstrafgericht, 2019-05-17, IT</w:t>
      </w:r>
    </w:p>
    <w:p>
      <w:r>
        <w:rPr>
          <w:b/>
        </w:rPr>
        <w:t xml:space="preserve">Quelle: </w:t>
      </w:r>
      <w:r>
        <w:t>https://mcp.opencaselaw.ch/entscheid/bstger_RR.2019.45</w:t>
      </w:r>
    </w:p>
    <w:p>
      <w:r>
        <w:t>FR: TPF RR.2019.45 du 17 mai 2019</w:t>
      </w:r>
    </w:p>
    <w:p>
      <w:r>
        <w:t>IT: TPF RR.2019.45 del 17 maggio 2019</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w:t>
      </w:r>
    </w:p>
    <w:p>
      <w:r>
        <w:t>- 5 -</w:t>
      </w:r>
    </w:p>
    <w:p>
      <w:r>
        <w:t>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Nella misura in cui la ricorrente è erede in ragione del 50% dei beni giacenti sulle relazioni bancarie n. 1 e n. 2, intestate al defunto padre J. (v. act. 1.1, pag. 4 e seg., e atto 28 incarto MP-TI), la relativa legittimazione a ricorrere è data.</w:t>
      </w:r>
    </w:p>
    <w:p>
      <w:r>
        <w:rPr>
          <w:b/>
        </w:rPr>
        <w:t>E. 2</w:t>
      </w:r>
    </w:p>
    <w:p>
      <w:r>
        <w:t>La ricorrente censura innanzitutto la violazione del principio della doppia puni- bilità. Ella afferma che la confisca per equivalente sarebbe stata disposta in Italia, da una parte, per il reato di omessa dichiarazione fiscale e non per truffa in materia fiscale (v. capi B2 e B3 della sentenza di condanna, in atto 21 incarto MP-TI), d’altra parte, per il reato di emissione di fatture o altri documenti per operazioni inesistenti (v. capo C). Pur costituendo quest’ultimo comportamento una frode fiscale, la ricorrente sostiene che l’importo di EUR 302'318.40, og- getto della frode, corrisponde al valore imponibile e non all’imposta evasa, la quale sarebbe sensibilmente inferiore a tale importo nonché già coperta dal provvedimento di confisca eseguito in Italia (v. act. 1, pag. 8 e seg.).</w:t>
      </w:r>
    </w:p>
    <w:p>
      <w:r>
        <w:rPr>
          <w:b/>
        </w:rPr>
        <w:t>E. 2.1</w:t>
      </w:r>
    </w:p>
    <w:p>
      <w:r>
        <w:t>Aderendo alla CEAG, la Svizzera ha posto il principio della doppia punibilità quale condizione all'esecuzione di ogni commissione rogatoria esigente l'appli- cazione di una qualsiasi misura coercitiva (v. art. 5 n. 1 lett. 1 CEAG e la riserva</w:t>
      </w:r>
    </w:p>
    <w:p>
      <w:r>
        <w:t>- 6 -</w:t>
      </w:r>
    </w:p>
    <w:p>
      <w:r>
        <w:t>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casi di inganno astuto.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w:t>
      </w:r>
    </w:p>
    <w:p>
      <w:r>
        <w:t>- 7 -</w:t>
      </w:r>
    </w:p>
    <w:p>
      <w:r>
        <w:t>esigibile possono costituire un inganno astuto, come pure se il truffatore dis- suade la vittima dall'effettuare una verifica o prevede, date le circostanze, che essa rinuncerà a farlo in virtù, segnatamente, di un particolare rapporto di fidu- 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2.2</w:t>
      </w:r>
    </w:p>
    <w:p>
      <w:r>
        <w:t>Nel caso concreto, nel suo scritto del 22 dicembre 2017, l’autorità rogante ha affermato che A. “è stata condannata irrevocabilmente per bancarotta fraudo- lenta per distrazione e frode fiscale con sentenza del 15.7.2015 divenuta defi- nitiva in data 15 giugno 2016 con confisca per equivalente fino all’importo dell’IVA evasa in relazione ai capi B2) B3) e C) circa 20 milioni di euro” (v. atto</w:t>
      </w:r>
    </w:p>
    <w:p>
      <w:r>
        <w:rPr>
          <w:b/>
        </w:rPr>
        <w:t>E. 6</w:t>
      </w:r>
    </w:p>
    <w:p>
      <w:r>
        <w:t>incarto MP-TI). In relazione a tale condanna, la medesima autorità ha chiesto la confisca dei beni di pertinenza della ricorrente sequestrati in Svizzera, “in esecuzione della confisca disposta dal Giudice italiano con le sentenze citate e conseguente adozione dei provvedimenti consequenziali finalizzati al rientro delle somme in Italia” (v. ibidem). Con provvedimento per l’esecuzione della confisca per equivalente divenuta definitiva nei confronti della ricorrente del 13 giugno 2017, la Procura Generale del Repubblica presso la Corte di Appello di Milano ha disposto “l’esecuzione nei confronti di A. con riguardo al capo della</w:t>
      </w:r>
    </w:p>
    <w:p>
      <w:r>
        <w:t>- 8 -</w:t>
      </w:r>
    </w:p>
    <w:p>
      <w:r>
        <w:t>sentenza di condanna del Tribunale di Milano in data 15.7.2015 e della sen- tenza di parziale conferma della Corte d’appello di Milano in data 15.6.2016, divenuta definitiva in data 30.9.2016, che dispone la confisca per equivalente fino a concorrenza della somma complessiva pari ad euro 1'370'582.43 per i capi B2, B3 e C (essendo prescritto il capo D) nei confronti dei seguenti beni già oggetto del sequestro con decreto del GIP di Milano 28.11.2013 e di cui al verbale di esecuzione in data 4.12.2013: intera proprietà di unità immobiliare nel Comune di Milano, id. al foglio 3; intera proprietà nel Comune di Milano, id. foglio 4; quota pari a 56,615 millesimi di proprietà di unità immobiliari site nel Comune di Milano, id. foglio 5; nonché con riguardo a n. 6 quote del Fondo pensione K. intestato a A.” (v. atto 26, allegato 4, incarto MP-TI).</w:t>
      </w:r>
    </w:p>
    <w:p>
      <w:r>
        <w:t>Secondo i capi d’accusa B2 e B3, riguardanti il reato di cui all’art. 5 D.Lgs n. 74/2000, la ricorrente, in concorso con altri, con più azioni esecutive di un medesimo disegno criminoso, in tempi e luoghi diversi, al fine di evadere l’IVA, non ha presentato, essendovi obbligata, la dichiarazione annuale IVA relativa a detta imposta per gli anni 2007 e 2008, nonostante l’esistenza di ricavi per EUR 7'257'976.70 nel 2007 e EUR 5'381'146.95 nel 2008, ed un’imposta evasa ai fini IVA accertata in EUR 213'930.30 relativa al 2007 e EUR 854'333’73 per il 2008 (v. atto 21 incarto MP-TI). Secondo il capo C, la ricorrente ha emesso svariate fatture per operazioni inesistenti nei confronti della società G. s.r.l., al fine di far evadere l’imposta, nell’anno d’imposta 2008, per un imponibile quan- tificato in EUR 302'318.40 (v. atto 21 incarto MP-TI). Essendo i reati in que- stione stati commessi tutti in un ambito chiaramente truffaldino, la doppia puni- bilità è certamente data. Per i reati di cui ai capi B2 e B3, a tale conclusione è possibile giungere anche sulla base dell’art. 50 CAS (v. supra consid. 2.1 in fine).</w:t>
      </w:r>
    </w:p>
    <w:p>
      <w:r>
        <w:t>- 9 -</w:t>
      </w:r>
    </w:p>
    <w:p>
      <w:r>
        <w:t>3. L’insorgente sostiene che, essendo i valori patrimoniali litigiosi, ereditati dal pa- dre, assolutamente estranei ai reati per i quali è stata condannata, l’art. 74a cpv. 2 AIMP non può trovare applicazione.</w:t>
      </w:r>
    </w:p>
    <w:p>
      <w:r>
        <w:t>3.1 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t>3.2 Il sequestro in vista dell'esecuzione di un credito compensatorio è ammissibile se il credito definitivo ed esecutivo può essere eseguito giusta l'art. 94 e segg. AIMP. Ciò è di regola il caso a meno che si tratti dell'esecuzione di un credito compensatorio in relazione a delitti fiscali che non rappresentano una truffa qua- lificata in materia fiscale ai sensi dell'art. 14 cpv. 4 DPA (v. TPF 2009 66 con- sid. 4.2; v anche sentenze del Tribunale penale federale RR.2013.91 del 21 giu- gno 2013 consid. 2.2.1; RR.2010.13 del 30 aprile 2010 consid. 3).</w:t>
      </w:r>
    </w:p>
    <w:p>
      <w:r>
        <w:t>3.3 In concreto, i reati commessi dalla ricorrente si inseriscono in un contesto chia- ramente truffaldino, per cui nulla osterebbe alla consegna dei beni litigiosi. Se- nonché né dalla sentenza né dal provvedimento d’esecuzione del 13 giugno 2017 (v. atto 26, allegato 4, incarto MP-TI) è possibile evincere né l’ammontare – al capo in questione l’autorità estera quantifica in EUR 302'318.40 l’imponi- bile, ma non indica l’importo dell’imposta evasa – né i beni in Svizzera da con- fiscare, nonostante questi siano noti perlomeno dal 2016 (v. rogatoria del 3 ago- sto 2016, in atto 5 incarto MP-TI). In definitiva, non esistendo una decisione di confisca per equivalente relativa ai valori patrimoniali in Svizzera oggetto della decisione impugnata (ciò che è invece il caso per altri beni di pertinenza della ricorrente; v. supra consid. 2.2), le condizioni per una consegna di valori non sono date.</w:t>
      </w:r>
    </w:p>
    <w:p>
      <w:r>
        <w:t>- 10 -</w:t>
      </w:r>
    </w:p>
    <w:p>
      <w:r>
        <w:t>4. Visto l’accoglimento del ricorso, non occorre chinarsi sulle altre censure pre- sentate dal ricorrente. Prima di procedere allo sblocco della quota parte dei va- lori patrimoniali di pertinenza di A. giacente sulle relazioni n. 1 e n. 2 presso Banca I.,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questo senso il Ministero pubblico ticinese do- vrà comunicare senza indugio alle autorità italiane il contenuto delle motivazioni di questa sentenza dando pedissequamente alle medesime un termine di 30 giorni a partire dalla crescita in giudicato della stessa per esprimersi in merito giusta l'art. 12 n. 2 CRic. Sulla base di detta risposta il Ministero pubblico tici- nese deciderà, alla luce delle vincolanti considerazioni qui sopra esposte, se mantenere o meno i sequestri. Tale decisione sarà soggetta alle consuete vie ricorsuali.</w:t>
      </w:r>
    </w:p>
    <w:p>
      <w:r>
        <w:t>5.</w:t>
      </w:r>
    </w:p>
    <w:p>
      <w:r>
        <w:t>5.1 Visto l'esito della procedura, non si riscuote tassa di giustizia (art. 63 cpv. 2 PA richiamato l'art. 39 cpv. 2 lett. b LOAP). La cassa del Tribunale penale federale restituirà alla ricorrente l'anticipo delle spese già pervenuto pari a fr. 6'000.–.</w:t>
      </w:r>
    </w:p>
    <w:p>
      <w:r>
        <w:t>5.2 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 rico del Ministero pubblico ticinese in quanto autorità inferiore giusta l'art. 64 cpv. 2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