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RR.2019.358 vom 28. April 2020</w:t>
      </w:r>
    </w:p>
    <w:p>
      <w:r>
        <w:t>Bundesstrafgericht, 2020-04-28, DE</w:t>
      </w:r>
    </w:p>
    <w:p>
      <w:r>
        <w:rPr>
          <w:b/>
        </w:rPr>
        <w:t xml:space="preserve">Quelle: </w:t>
      </w:r>
      <w:r>
        <w:t>https://mcp.opencaselaw.ch/entscheid/bstger_RR.2019.358</w:t>
      </w:r>
    </w:p>
    <w:p>
      <w:r>
        <w:t>FR: TPF RR.2019.358 du 28 avril 2020</w:t>
      </w:r>
    </w:p>
    <w:p>
      <w:r>
        <w:t>IT: TPF RR.2019.358 del 28 aprile 2020</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(ZV EUeR; SR 0.351.913.61) massgebend. Ausserdem gelangen die Bestimmungen der Art. 48 ff. des Übereinkommens vom 19. Juni 1990 zur Durchführung des Übereinkommens von Schengen vom 14. Juni 1985 (Schengener Durchführungsübereinkommen, SDÜ; Abl.</w:t>
      </w:r>
    </w:p>
    <w:p>
      <w:r>
        <w:t>- 4 -</w:t>
      </w:r>
    </w:p>
    <w:p>
      <w:r>
        <w:t>L 239 vom 22. September 2000, S. 19 – 62) zur Anwendung (TPF 2009 111 E. 1.2 S. 113).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2008 24 E. 1.1 S. 26). Auf Beschwerdeverfahren in internationalen Rechtshilfeangelegenheiten sind zudem die Bestimmungen des Bundesge- setzes vom 20. Dezember 1968 über das Verwaltungsverfahren (Verwal- tungsverfahrensgesetz, VwVG; SR 172.021) anwendbar (Art. 39 Abs. 2 lit. b i.V.m. Art. 37 Abs. 2 lit. a Ziff. 1 StBOG), wenn das IRSG nichts anderes bestimmt (siehe Art. 12 Abs. 1 IRSG).</w:t>
      </w:r>
    </w:p>
    <w:p>
      <w:r>
        <w:rPr>
          <w:b/>
        </w:rPr>
        <w:t>E. 2.1</w:t>
      </w:r>
    </w:p>
    <w:p>
      <w:r>
        <w:t>Die Schlussverfügung der ausführenden kantonalen Behörde unterliegt der Beschwerde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w:t>
      </w:r>
    </w:p>
    <w:p>
      <w:r>
        <w:rPr>
          <w:b/>
        </w:rPr>
        <w:t>E. 2.2</w:t>
      </w:r>
    </w:p>
    <w:p>
      <w:r>
        <w:t>Vorliegend führt die Kontoinhaberin Beschwerde gegen die Schlussverfü- gung. Auf die im Übrigen form- und fristgerecht eingereichte Beschwerde ist daher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w:t>
      </w:r>
    </w:p>
    <w:p>
      <w:r>
        <w:t>- 5 -</w:t>
      </w:r>
    </w:p>
    <w:p>
      <w:r>
        <w:t>E. 1.4; Urteil des Bundesgerichts 1A.1/2009 vom 20. März 2009 E. 1.6; TPF 2011 97 E. 5).</w:t>
      </w:r>
    </w:p>
    <w:p>
      <w:r>
        <w:rPr>
          <w:b/>
        </w:rPr>
        <w:t>E. 4.1</w:t>
      </w:r>
    </w:p>
    <w:p>
      <w:r>
        <w:t>Die Beschwerdeführerin macht zunächst geltend, der im Rechtshilfeersu- chen bzw. im Beschluss des Amtsgerichts Stuttgart geschilderte Sachverhalt sei unzureichend beschrieben. So werde die Arglist mit keinem Wort er- wähnt, auch die Beschreibung der behaupteten Gewerbsmässigkeit sowie die Umschreibung des subjektiven Verhaltens würden gänzlich fehlen. Bei genauerer Analyse des beschriebenen Sachverhalts werde sodann klar, dass es sich um eine rein zivilrechtliche Angelegenheit handle. Angesichts der äusserst knappen Sachverhaltsdarstellung sei es nicht möglich, die beid- seitige Strafbarkeit zu prüfen (act. 1 S. 12 ff.).</w:t>
      </w:r>
    </w:p>
    <w:p>
      <w:r>
        <w:rPr>
          <w:b/>
        </w:rPr>
        <w:t>E. 4.2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ebenso Art. 27 Ziff. 1 GwUe). Art. 28 Abs. 2 und 3 IRSG und Art. 10 Abs. 2 IRSV stellen entsprechende Voraussetzungen an das Rechtshilfeersuchen. Diese Angaben müssen der ersuchten Behörde die Prüfung erlauben, ob die doppelte Strafbarkeit gegeben ist (Art. 5 Ziff. 1 lit. a EUeR), ob die Handlun- gen wegen denen um Rechtshilfe ersucht wird, nicht ein politisches oder fis- kalisches Delikt darstellen (Art. 2 lit. a EUeR) und ob der Grundsatz der Ver- hältnismässigkeit gewahrt wird (BGE 129 II 97 E. 3.1; TPF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w:t>
      </w:r>
    </w:p>
    <w:p>
      <w:r>
        <w:t>- 6 -</w:t>
      </w:r>
    </w:p>
    <w:p>
      <w:r>
        <w:t>Ergänzungen gebunden, soweit diese nicht durch offensichtliche Fehler, Lü- cken oder Widersprüche sofort entkräftet wird (BGE 139 II 451 E. 2.2.1; 136 IV 4 E. 4.1; 133 IV 76 E 2.2; TPF 2011 194 E. 2.1 S. 196). Einwände, die sich auf die Richtigkeit der Darstellung beziehen, Gegenbehauptungen, Beweiseingaben oder -offerten, die nur das ausländische Sachurteil betref- fen, sind vom Rechtshilfegericht nicht zu hören (BGE 132 II 81 E. 2.1).</w:t>
      </w:r>
    </w:p>
    <w:p>
      <w:r>
        <w:rPr>
          <w:b/>
        </w:rPr>
        <w:t>E. 4.3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 Für die Frage der beidseitigen Strafbarkeit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sofern er – analog – in der Schweiz begangen worden wäre, die Tatbestandsmerkmale einer schweize- rischen Strafnorm erfüllen würde. Nachfolgend ist somit zu prüfen, ob der Sachverhalt im Rechtshilfeersuchen genügend konkret dargestellt worden ist, damit eine Subsumtion unter einen schweizerischen Straftatbestand möglich ist.</w:t>
      </w:r>
    </w:p>
    <w:p>
      <w:r>
        <w:rPr>
          <w:b/>
        </w:rPr>
        <w:t>E. 4.4</w:t>
      </w:r>
    </w:p>
    <w:p>
      <w:r>
        <w:t>Dem Rechtshilfeersuchen vom 5. Juni 2018 sowie dem Beschluss des Amts- gerichts Stuttgart vom 29. Mai 2018 ist folgender Sachverhalt zu entnehmen:</w:t>
      </w:r>
    </w:p>
    <w:p>
      <w:r>
        <w:t>Seit mindestens September 2017 versende die Beschwerdeführerin an Ge- werbetreibende Faxschreiben, welche mit der Eintragung «Brancheneintrag Baden-Württemberg», «Branchenbuch Baden-Württemberg» oder Ähnli- chem überschrieben seien. In diesen Schreiben würden die Gewerbetreiben- den aufgefordert, fehlerhafte oder fehlende Daten des Unternehmens zu kor- rigieren oder zu ergänzen und anschliessend den Vordruck unterschrieben zurückzusenden. Bei den Mitarbeitern der jeweiligen Unternehmen werde hierdurch der Eindruck erweckt, es handle sich um eine Ergänzung eines</w:t>
      </w:r>
    </w:p>
    <w:p>
      <w:r>
        <w:t>- 7 -</w:t>
      </w:r>
    </w:p>
    <w:p>
      <w:r>
        <w:t>bereits abgeschlossenen Vertrages. Tatsächlich werde – wie sich erst bei genauem Hinsehen aus dem Kleingedruckten ergäbe – der Vertrag erst durch das Absenden des Vordrucks abgeschlossen. Im Anschluss erhalte das Unternehmen eine Rechnung über einen Betrag von EUR 948.-- für einen «gewünschten» Branchenbucheintrag auf dem Internetportal C.net, wobei der Rechnungsbetrag auf das Konto der Beschwerdeführerin bei der Bank D. mit der IBAN 1 zu überweisen sei. Am 16. Januar 2018 sei von einem namentlich nicht bekannten Mitarbeiter der Beschwerdeführerin an die E. GmbH in Filderstadt ein solches Faxschreiben übersandt und mit Schreiben vom 1. Februar 2018 ein Betrag von EUR 948.-- in Rechnung ge- stellt worden. Ferner sei von der Beschwerdeführerin am 7. Februar 2018 dem F.center in Böblingen ein Faxschreiben übersandt und mit Datum vom</w:t>
      </w:r>
    </w:p>
    <w:p>
      <w:r>
        <w:rPr>
          <w:b/>
        </w:rPr>
        <w:t>E. 4.5</w:t>
      </w:r>
    </w:p>
    <w:p>
      <w:r>
        <w:t>Diese Darstellung genügt den Anforderungen an die Sachverhaltsdarstel- lung in Anwendung der üblichen Praxis zu den Artikeln 14 EUeR und 28 IRSG (vgl. supra E. 4.2). Sie enthält keine offensichtlichen Fehler, Lücken oder Widersprüche, welche eine Überprüfung der Strafbarkeit verunmögli- chen würden. Ihr ist zu entnehmen, gegen wen sich das deutsche Strafver- fahren richtet und in welchem Zeitraum die strafbaren Handlungen begangen sein sollen. Die Sachverhaltsdarstellung erlaubt ohne Weiteres die Prüfung der doppelten Strafbarkeit.</w:t>
      </w:r>
    </w:p>
    <w:p>
      <w:r>
        <w:rPr>
          <w:b/>
        </w:rPr>
        <w:t>E. 4.6</w:t>
      </w:r>
    </w:p>
    <w:p>
      <w:r>
        <w:t>Gemäss Art. 3 Abs. 1 lit. p des Bundesgesetzes über den unlauteren Wett- bewerb vom 19. Dezember 1986 (UWG; SR 241) handelt unlauter, wer mit- tels Offertformularen, Korrekturangeboten oder Ähnlichem für Eintragungen in Verzeichnisse jeglicher Art oder für Anzeigeaufträge wirbt oder solche Ein- tragungen oder Anzeigeaufträge unmittelbar anbietet, ohne in grosser Schrift, an gut sichtbarer Stelle und in verständlicher Sprache auf Folgendes hinzuweisen: 1. die Entgeltlichkeit und den privaten Charakter des Angebots, 2. die Laufzeit des Vertrages, 3. den Gesamtpreis entsprechend der Laufzeit, und 4. die geografische Verbreitung, die Form, die Mindestauflage und den spätesten Zeitpunkt der Publikation. Unlauter handelt nach Art. 3 Abs. 1 lit. b UWG auch, wer über sich, seine Firma, seine Geschäftsbezeichnung, seine Waren, Werke oder Leistungen, deren Preise, die vorrätige Menge, die Art der Verkaufsveranstaltung oder über seine Geschäftsverhältnisse unrichtige oder irreführende Angaben macht. Wer vorsätzlich unlauteren Wettbewerb nach Art. 3, 4, 5 oder 6 UWG begeht, wird auf Antrag mit Freiheitsstrafe bis zu drei Jahren oder Geldstrafe bestraft (Art. 23 Abs. 1 UWG).</w:t>
      </w:r>
    </w:p>
    <w:p>
      <w:r>
        <w:t>Gemäss Sachverhaltsdarstellung sollen die von der Beschwerdeführerin ver- sandten Faxschreiben den irreführenden Eindruck erweckt haben, es handle</w:t>
      </w:r>
    </w:p>
    <w:p>
      <w:r>
        <w:t>- 8 -</w:t>
      </w:r>
    </w:p>
    <w:p>
      <w:r>
        <w:t>sich um eine Ergänzung bzw. Korrektur eines bereits abgeschlossenen Ver- trages. Tatsächlich sei der Vertrag aber erst durch das Absenden des unter- zeichneten Formulars abgeschlossen worden. Dies habe sich jedoch erst bei genauerem Hinsehen aus dem Kleingedruckten ergeben. Da wie oben dar- gelegt Offertformulare bzw. Korrekturangebote für den Eintrag in private Fir- menverzeichnisse nach Art. 3 Abs. 1 lit. p UWG nur zulässig sind, wenn an gut sichtbarer Stelle, in grosser Schrift und in verständlicher Sprache auf die wesentlichen Vertragspunkte hingewiesen wird, und der Beschwerdeführerin diesbezüglich prima facie ein irreführendes Verhalten vorgeworfen werden kann, lässt sich der Sachverhalt ohne Weiteres unter die Tatbestände von Art. 3 Abs. 1 lit. p UWG und Art. 3 lit. b UWG subsumieren. Unbehelflich ist der Hinweis der Beschwerdeführerin auf die Nichtanhandnahmeverfügung der Staatsanwaltschaft Luzern vom 6. März 2018 betreffend eine Anzeige gegen die Beschwerdeführerin wegen Widerhandlungen gegen das UWG und auf die Einstellungsverfügung der Staatsanwaltschaft Luzern vom 13. Mai 2019 betreffend die Einstellung einer Strafuntersuchung gegen B. wegen Betrugs und Urkundenfälschung. In beiden Fällen ging es ebenfalls um den Vorwurf, die Beschwerdeführerin bzw. B. hätten mit irreführenden Faxschreiben Gewerbetreibende zu einem Branchenbucheintrag verleitet oder verleiten wollen. Die Staatsanwaltschaft Luzern hatte in der Nichtan- nahmeverfügung und der Einstellungsverfügung je ein irreführendes Verhal- ten der Beschwerdeführerin bzw. von B. verneint, da klar gewesen sei, dass es sich bei den von der Beschwerdeführerin bzw. B. versandten Faxformu- laren um Eintragungsofferten gehandelt habe. Dies sei bereits aus der Über- schrift hervorgegangen. Darunter hätten sich ein Adressfeld mit der Über- schrift «Bitte fehlende oder fehlerhafte Daten ergänzen oder korrigieren» und die Vertragsbedingungen befunden (act. 1.6 und act. 1.7). Ob es sich hierbei um die gleichen Faxformulare gehandelt hat, wie bei jenen im Rechtshilfeer- suchen erwähnten, kann nicht beurteilt werden. Gemäss der verbindlichen Sachverhaltsdarstellung muss allerdings davon ausgegangen werden, dass die Faxformulare im deutschen Strafverfahren die wesentlichen Vertrags- merkmale einzig im Kleingedruckten wiedergegeben haben, weshalb ein Verstoss gegen Art. 3 Abs. 1 lit. p UWG bzw. ein irreführendes Verhalten seitens der Beschwerdeführerin im Sinne von Art. 3 Abs. 1 lit. b UWG und daher ein strafbares Verhalten gemäss Art. 23 Abs. 1 UWG prima facie zu bejahen ist. Ob sich daneben der Sachverhalt unter weitere Tatbestände, namentlich des Betrugs im Sinne von Art. 146 StGB, subsumieren lässt, muss nicht weiter geprüft werden.</w:t>
      </w:r>
    </w:p>
    <w:p>
      <w:r>
        <w:t>Die Beschwerde erweist sich nach dem Gesagten in diesem Punkt als unbe- gründet.</w:t>
      </w:r>
    </w:p>
    <w:p>
      <w:r>
        <w:t>- 9 -</w:t>
      </w:r>
    </w:p>
    <w:p>
      <w:r>
        <w:t>5. 5.1 Die Beschwerdeführerin rügt sodann, dass die ersuchende Behörde ihrem Rechtshilfeersuchen eine Bestätigung über die Zulässigkeit der Zwangs- massnahme im Sinne von Art. 76 lit. c IRSG nicht beigelegt habe. Mangels entsprechender Bestätigung im deutschen Ersuchen sei das Rechtsbegeh- ren unzureichend (act. 1 S. 14).</w:t>
      </w:r>
    </w:p>
    <w:p>
      <w:r>
        <w:t>5.2 Gemäss Art. 76 lit. c IRSG sind ausser den Angaben und Unterlagen nach Art. 28 IRSG einem Ersuchen aufzuführen oder ihm beizufügen: den Anträ- gen auf Durchsuchung von Personen oder Räumen, Beschlagnahme oder Herausgabe von Gegenständen eine Bestätigung, dass diese Massnahmen im ersuchenden Staat zulässig sind. Wie bereits eingangs festgehalten, ist für die Rechtshilfe zwischen Deutschland und der Schweiz in erster Linie das EUeR massgebend. Da Art. 14 EUeR im Gegensatz zu Art. 76 lit. c IRSG eine Bescheinigung über die Zulässigkeit der Zwangsmassnahmen nach dem Recht des ersuchenden Staates gerade nicht vorsieht, erweist sich auch diese Rüge der Beschwerdeführerin als unbegründet.</w:t>
      </w:r>
    </w:p>
    <w:p>
      <w:r>
        <w:rPr>
          <w:b/>
        </w:rPr>
        <w:t>E. 6</w:t>
      </w:r>
    </w:p>
    <w:p>
      <w:r>
        <w:t>März 2018 ein Betrag von EUR 948.-- berechnet worden (Verfahrensak- ten Ordner Lasche 1 Urk. 2-4).</w:t>
      </w:r>
    </w:p>
    <w:p>
      <w:r>
        <w:rPr>
          <w:b/>
        </w:rPr>
        <w:t>E. 6.1</w:t>
      </w:r>
    </w:p>
    <w:p>
      <w:r>
        <w:t>Die Beschwerdeführerin macht schliesslich geltend, die Umschreibung der zu übermittelnden Bankunterlagen stelle eine unzulässige «fishing expedi- tion» dar. Zwar werde ein betroffenes Konto genau bezeichnet. Es werde aber auch verlangt, dass weitere bei der Bank D. vom Beschuldigten unter- haltene Konten und solche, für die er zeichnungsberechtigt sei oder gewe- sen sei, ediert und übermittelt werden sollen. Diese Forderung werde ge- stellt, ohne konkrete Anhaltpunkte dafür, ob es noch weitere Konten bei die- sem Bankinstitut gebe. Ein solches Vorgehen sei unzulässig (act. 1 S. 14).</w:t>
      </w:r>
    </w:p>
    <w:p>
      <w:r>
        <w:rPr>
          <w:b/>
        </w:rPr>
        <w:t>E. 6.2</w:t>
      </w:r>
    </w:p>
    <w:p>
      <w:r>
        <w:t>Wie bereits supra unter E. 4.2 ausgeführt muss die ersuchende Behörde ge- mäss Art. 14 Ziff. 1 lit. b EUeR den Gegenstand und den Grund ihres Gesu- ches spezifizieren. Daraus leitet die Praxis ein Verbot der Beweisausfor- schung ab. Dieses richtet sich gegen Beweisaufnahmen aufs Geratewohl. Es dürfen keine strafprozessualen Untersuchungshandlungen zur Auffin- dung von Belastungsmaterial zwecks nachträglicher Begründung eines Tat- verdachtes (oder zur Verfolgung nicht rechtshilfefähiger Delikte) durchge- führt werden. Eine hinreichend präzise Umschreibung der Verdachtsgründe soll möglichen Missbräuchen vorbeugen. Es sind grundsätzlich alle sicher- gestellten Aktenstücke zu übermitteln, welche sich auf den im Ersuchen dar- gelegten Verdacht beziehen können. Mithin muss eine ausreichende inhalt- liche Konnexität zwischen dem untersuchten Sachverhalt und den fraglichen Dokumenten erstellt sein (BGE 129 II 462 E. 5.3; 122 II 367 E. 2c; 121 II 241</w:t>
      </w:r>
    </w:p>
    <w:p>
      <w:r>
        <w:t>- 10 -</w:t>
      </w:r>
    </w:p>
    <w:p>
      <w:r>
        <w:t>E. 3a, je m.H.). Bei der Frage, welche Rechtshilfemassnahmen sachlich ge- boten und zulässig erscheinen, ist ausserdem das Ersuchen sachgerecht zu interpretieren. Damit können unnötige Prozessleerläufe (durch das Einrei- chen immer neuer konnexer Ersuchen) vermieden werden (BGE 136 IV 82 E. 4.1 S. 86; vgl. zum Ganzen auch TPF 2009 161 E. 5.1 S. 164).</w:t>
      </w:r>
    </w:p>
    <w:p>
      <w:r>
        <w:rPr>
          <w:b/>
        </w:rPr>
        <w:t>E. 6.3</w:t>
      </w:r>
    </w:p>
    <w:p>
      <w:r>
        <w:t>Die ersuchende Behörde hat in ihrem Ersuchen sowohl die Bank wie auch eine konkrete Kontonummer desjenigen Kontos bezeichnet, auf welches mutmasslich deliktisch erlangte Gelder einbezahlt worden sind. An diesem von der ersuchenden Behörde bezeichnete Konto ist der Beschuldigte B. wirtschaftlich Berechtigter. Dass die ersuchende Behörde dabei zusätzlich nach weiteren Konten bei der gleichen Bank nachfragt, die auf den Beschul- digten lauten oder an denen er wirtschaftlich Berechtigter ist, ist nicht zu be- anstanden. Wie dargelegt, bestehen hinreichende Verdachtsgründe eines strafbaren Verhaltens, und es liegen konkrete Anhaltspunkte dafür vor, dass eine Bankbeziehung in einer bestimmten Ortschaft in der Schweiz besteht. Das Ersuchen hat zudem Umstände darlegt, dass eine fragliche Bankbezie- hung im Zusammenhang mit der im ersuchenden Staat verfolgten strafbaren Handlung benutzt wurde. Damit ist den Anforderungen an Art. 14 Abs. 1 lit. b EUeR Genüge getan (vgl. auch Urteil des Bundesgerichts 1A.32/2000 vom 19. Juni 2000 E. 3a), und von einer unzulässigen Beweisausforschung kann keine Rede sein.</w:t>
      </w:r>
    </w:p>
    <w:p>
      <w:r>
        <w:rPr>
          <w:b/>
        </w:rPr>
        <w:t>E. 7</w:t>
      </w:r>
    </w:p>
    <w:p>
      <w:r>
        <w:t>Andere Rechtshilfehindernisse werden nicht genannt und sind auch nicht er- sichtlich. Der Herausgabe der vorgenannten Unterlagen steht somit nichts entgegen. Die Beschwerde erweist sich in allen Punkten als unbegründet und ist abzuweisen.</w:t>
      </w:r>
    </w:p>
    <w:p>
      <w:r>
        <w:rPr>
          <w:b/>
        </w:rPr>
        <w:t>E. 8</w:t>
      </w:r>
    </w:p>
    <w:p>
      <w:r>
        <w:t>Bei diesem Ausgang des Verfahrens sind die Gerichtskosten der Beschwer- deführerin aufzuerlegen (Art. 63 Abs. 1 VwVG). Die Gerichtsgebühr ist auf Fr. 5'000.-- festzusetzen (vgl. Art. 63 Abs. 5 VwVG i.V.m. Art. 73 StBOG so- wie Art. 5 und 8 Abs. 3 lit. a BStKR), unter Anrechnung des geleisteten Kos- tenvorschusses in derselben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