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RR.2019.357 vom 28. April 2020</w:t>
      </w:r>
    </w:p>
    <w:p>
      <w:r>
        <w:t>Bundesstrafgericht, 2020-04-28, DE</w:t>
      </w:r>
    </w:p>
    <w:p>
      <w:r>
        <w:rPr>
          <w:b/>
        </w:rPr>
        <w:t xml:space="preserve">Quelle: </w:t>
      </w:r>
      <w:r>
        <w:t>https://mcp.opencaselaw.ch/entscheid/bstger_RR.2019.357</w:t>
      </w:r>
    </w:p>
    <w:p>
      <w:r>
        <w:t>FR: TPF RR.2019.357 du 28 avril 2020</w:t>
      </w:r>
    </w:p>
    <w:p>
      <w:r>
        <w:t>IT: TPF RR.2019.357 del 28 aprile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Das Bundesstrafgericht prüft die Zulässigkeit der bei ihm erhobenen Be- schwerden von Amtes wegen und mit freier Kognition (TPF 2008 7 E. 1.2).</w:t>
      </w:r>
    </w:p>
    <w:p>
      <w:r>
        <w:rPr>
          <w:b/>
        </w:rPr>
        <w:t>E. 2.2</w:t>
      </w:r>
    </w:p>
    <w:p>
      <w:r>
        <w:t>Gemäss Art. 80c IRSG können die Berechtigten, insbesondere die Inhaber von Schriftstücken, Auskünften oder Vermögenswerten, bis zum Abschluss des Verfahrens einer Herausgabe derselben zustimmen (Abs. 1). Willigen alle Berechtigten ein, so hält die zuständige Behörde die Zustimmung schrift- lich fest und schliesst das Verfahren ab (Abs. 2). Dieser Abschluss muss</w:t>
      </w:r>
    </w:p>
    <w:p>
      <w:r>
        <w:t>- 5 -</w:t>
      </w:r>
    </w:p>
    <w:p>
      <w:r>
        <w:t>nicht begründet werden, aber die Zustimmung der Berechtigten bzw. der am Verfahren Beteiligten erwähnen (BBl 1995 III 29 [nachfolgend «Botschaft»]). Umfasst die Herausgabe nur einen Teil der verlangten Schriftstücke, Aus- künfte oder Vermögenswerte, so wird für den restlichen Teil das ordentliche Verfahren weitergeführt (Abs. 3). Die Zustimmung zur vereinfachten Ausfüh- rung ist unwiderruflich (Art. 80c Abs. 1 Satz 2 IRSG), und gegen die ab- schliessende Verfügung, welche die Zustimmung festhält, ist mangels Rechtsschutzbedürfnisses bzw. mangels Beschwer kein Rechtsmittel gege- ben (Botschaft, S. 29; Urteil des Bundesgerichts 1A.64/2005 vom 25. Mai 2005 E. 2).</w:t>
      </w:r>
    </w:p>
    <w:p>
      <w:r>
        <w:t>Der Grundsatz der Unwiderruflichkeit der Zustimmung dient der Rechtssi- cherheit und soll verhindern, dass das gewählte vereinfachte Verfahren bzw. die Übermittlung von Unterlagen an den ersuchenden Staat nachträglich noch in Frage gestellt werden können. Zwar lässt die bundesgerichtliche Rechtsprechung die nachträgliche Anfechtung der Zustimmung wegen Wil- lensmängeln in Analogie zu Art. 23 ff. OR zu, dies allerdings nur restriktiv, nämlich im Falle eines unverschuldeten Irrtums (Urteile des Bundesgerichts 1C_95/2011 vom 6. April 2011 E. 3; 1A.151/2006 vom 10. August 2006 E. 2.5.2; 1A.64/2005 vom 26. Mai 2005 E. 2.3.1). Für die Frage, ob ein die Anfechtung ausschliessendes Verschulden vorliegt, sind alle Umstände des Falles zu berücksichtigen, insbesondere auch, ob die Verwaltung den Irrtum veranlasst oder in anderer Weise gegen Treu und Glauben verstossen habe (Entscheid des Bundesstrafgerichts RR.2007.107 vom 12. Juli 2007).</w:t>
      </w:r>
    </w:p>
    <w:p>
      <w:r>
        <w:rPr>
          <w:b/>
        </w:rPr>
        <w:t>E. 2.3</w:t>
      </w:r>
    </w:p>
    <w:p>
      <w:r>
        <w:t>A. kreuzte am 2. Oktober 2018 auf einem ihm von der Staatsanwaltschaft Waadt unterbreiteten Formular folgendes an: «Je consens à l’exécution simplifiée de la procédure d’entraide au sens de l’article 80c EIMP». Auf dem Formular wurde Art. 80c IRSG in seinem Wortlaut sowie mit hervorgehobe- ner Schrift folgender Text wiedergegeben: «L’exécution simplifiée de la pro- cédure d’entraide au sens de l’art. 80c EIMP permet la remise immédiate et sans formalités ni recours par le Ministère public de Lucerne aux autorités allemandes du procès-verbal d’audition ainsi que l’éventuelle documentation produite » (Verfahrensakten Ordner Lasche 3 Urk. 4). Ebenso unterzeich- nete A. am gleichen Tag den Erhalt eines Schreibens der Oberstaatsanwalt- schaft des Kantons Luzern mit Erläuterungen zu Art. 80c IRSG. Dort wurde unter anderem festgehalten: «Erfolgt eine Zustimmung im Sinne von Art. 80c IRSG, so hat dies zur Folge, dass keine rechtsmittelfähige Verfügung im Sinne von Art. 80d IRSG mehr erlassen werden muss und die sichergestell- ten Akten der ersuchenden Behörde (sofort) zugestellt werden können. Diese Zustimmung ist unwiderruflich.» (Verfahrensakten Ordner Lasche 3 Urk. 11).</w:t>
      </w:r>
    </w:p>
    <w:p>
      <w:r>
        <w:t>- 6 -</w:t>
      </w:r>
    </w:p>
    <w:p>
      <w:r>
        <w:rPr>
          <w:b/>
        </w:rPr>
        <w:t>E. 2.4</w:t>
      </w:r>
    </w:p>
    <w:p>
      <w:r>
        <w:t>Zunächst ist festzuhalten, dass der Beschwerdeführer anlässlich der rechts- hilfeweise erfolgten Einvernahme als Beschuldigter bei der Kantonspolizei Waadt anwaltlich vertreten war (vgl. supra lit. C). Aus dem vom Beschwer- deführer unterzeichneten Text ging zudem (auch für einen juristischen Laien) unmissverständlich hervor, dass mit der Zustimmung zur vereinfachten Aus- führung der Herausgabe der Schriftstücke zugestimmt wird, dies zum Ab- schluss des Rechtshilfeverfahrens führt und dass die Zustimmung unwider- ruflich ist. Der Beschwerdeführer macht denn auch nicht geltend, er habe den Inhalt der Zustimmungserklärung nicht verstanden. Ebenso wenig beruft er sich auf das Vorliegen von Willensmängeln. Er macht vielmehr geltend, durch den Erlass der Schlussverfügung und die Einräumung eines Rechts- mittels habe die Beschwerdegegnerin ohne Weiteres die Erwartung erweckt und indirekt auch die entsprechende Zusicherung gemacht, dass die Zustim- mung nach Art. 80c IRSG als ungültig erachtet und das Protokoll einstweilen bis zur Beurteilung durch die Rechtsmittelinstanz nicht herausgeben werde. Behörden seien an den Grundsatz von Treu und Glauben gebunden. Eine allfällige damalige Zustimmung im Sinne von Art. 80c IRSG könne keine Wir- kung mehr entfalten (act. 1 S. 20; act. 12 S. 3 ff.).</w:t>
      </w:r>
    </w:p>
    <w:p>
      <w:r>
        <w:t>Die Berufung auf den Grundsatz von Treu und Glauben ist unter anderem nur zulässig, soweit die betroffene Person oder deren Rechtsvertreter die Unrichtigkeit der behördlichen Auskunft oder des behördlichen Verhaltens nicht erkennen konnte (BGE 129 II 125 E. 3.3; Urteil des Bundesgerichts 2C_244/2007 vom 10. Oktober 2007 E. 2.5). Die Beschwerdegegnerin hält in der angefochtenen Schlussverfügung vom 25. November 2019 unter an- derem fest, der Beschwerdeführer habe mit Schreiben vom 10. Januar 2019 die Zustimmung zur vereinfachten Ausführung verweigert (vgl. act. 1.2 Ziff. I 7.). Diese Feststellung basiert aber offensichtlich auf einem Versehen der Beschwerdegegnerin, wie sie dies selber mit ihrem Schreiben vom 5. De- zember 2019 an den Beschwerdeführer einräumt. Sie hatte es schlicht über- sehen, dass sich der Beschwerdeführer bereits am 2. Oktober 2018 anläss- lich der Einvernahme durch die Kantonspolizei Waadt mit der vereinfachten Ausführung des Rechtshilfeersuchens einverstanden erklärt hatte. Dass die Beschwerdegegnerin diesbezüglich einem Irrtum unterlag, hätte dem Be- schwerdeführer und dessen Rechtsvertretung jedoch schon am 19. Dezem- ber 2018 erkennbar sein müssen, als die Beschwerdegegnerin den Be- schwerdeführer nur knapp drei Monate nachdem sich dieser mit der Über- mittlung des Einvernahmeprotokolls an die deutschen Behörden einverstan- den erklärt hatte, um Mitteilung der Zustimmung zur vereinfachten Ausfüh- rung ersuchte (vgl. supra lit. D). Der anwaltlich vertretene Beschwerdeführer unterliess es jedoch, die Beschwerdegegnerin auf diesen offensichtlichen Irrtum aufmerksam zu machen und liess mit Schreiben vom 10. Januar 2019</w:t>
      </w:r>
    </w:p>
    <w:p>
      <w:r>
        <w:t>- 7 -</w:t>
      </w:r>
    </w:p>
    <w:p>
      <w:r>
        <w:t>mitteilen, dass er einer vereinfachten Ausführung nicht zustimme. Dadurch hat er sich selber treuwidrig verhalten, zumal er wusste, dass eine einmal abgegebene Zustimmung unwiderruflich ist. Eine Berufung auf den Grund- satz von Treu und Glauben ist gestützt auf das Ausgeführte ausgeschlossen.</w:t>
      </w:r>
    </w:p>
    <w:p>
      <w:r>
        <w:rPr>
          <w:b/>
        </w:rPr>
        <w:t>E. 2.5</w:t>
      </w:r>
    </w:p>
    <w:p>
      <w:r>
        <w:t>Zusammenfassend hat der Beschwerdeführer rechtswirksam seine Zustim- mung zur Herausgabe des Einvernahmeprotokolls an die deutschen Behör- den erteilt. Eine Anfechtung der Schlussverfügung ist ausgeschlossen. Auf die Beschwerde ist daher nicht einzutreten.</w:t>
      </w:r>
    </w:p>
    <w:p>
      <w:r>
        <w:rPr>
          <w:b/>
        </w:rPr>
        <w:t>E. 3</w:t>
      </w:r>
    </w:p>
    <w:p>
      <w:r>
        <w:t>Bei diesem Ausgang des Verfahrens sind die Gerichtskosten dem Beschwer- deführer aufzuerlegen (Art. 63 Abs. 1 VwVG). Die Gerichtsgebühr ist auf Fr. 4'000.-- festzusetzen (vgl. Art. 63 Abs. 5 VwVG i.V.m. Art. 73 StBOG so- wie Art. 5 und 8 Abs. 3 lit. a BStKR), unter Anrechnung des geleisteten Ko- stenvorschusses in gleicher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