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RR.2019.356 vom 22. Januar 2020</w:t>
      </w:r>
    </w:p>
    <w:p>
      <w:r>
        <w:t>Bundesstrafgericht, 2020-01-22, DE</w:t>
      </w:r>
    </w:p>
    <w:p>
      <w:r>
        <w:rPr>
          <w:b/>
        </w:rPr>
        <w:t xml:space="preserve">Quelle: </w:t>
      </w:r>
      <w:r>
        <w:t>https://mcp.opencaselaw.ch/entscheid/bstger_RR.2019.356</w:t>
      </w:r>
    </w:p>
    <w:p>
      <w:r>
        <w:t>FR: TPF RR.2019.356 du 22 janvier 2020</w:t>
      </w:r>
    </w:p>
    <w:p>
      <w:r>
        <w:t>IT: TPF RR.2019.356 del 22 gennaio 2020</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bilateralen Abkommen», 8.1 An- 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i.V.m. dem Beschuss des Rates 2003/169/JI vom 27. Februar 2003 (CELEX-Nr.</w:t>
      </w:r>
    </w:p>
    <w:p>
      <w:r>
        <w:t>- 4 -</w:t>
      </w:r>
    </w:p>
    <w:p>
      <w:r>
        <w:t>32003D0169; ABl. L 67 vom 12. März 2003, S. 25 f.; abrufbar unter «Rechts- sammlung zu den bilateralen Abkommen», 8.2 Anhang B), wobei die zwi- schen den Vertragsparteien geltenden weitergehenden Bestimmungen auf- grund bilateraler oder multilateraler Abkommen unberührt bleiben (Art. 59 Abs. 2 SDÜ; Art. 1 Abs. 1 EU-Auslieferungsübereinkommen).</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- 5 -</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w:t>
      </w:r>
    </w:p>
    <w:p>
      <w:r>
        <w:t>Juni 2013 nicht eröffnet worden, greift nicht. Wie schon im haftrechtlichen Beschwerdeverfahren vor Bundesgericht (vgl. act. 5.11, S. 3) macht der Be- schwerdeführer auch vorliegend diesbezüglich keine näheren Ausführun- gen. Seiner Beschwerde legte er lediglich den Empfangsschein der Staats- anwaltschaft des Kantons Zürich vom 17. Juni 2013 bei, worin von einem Schreiben vom 5. Juni 2013 und dem Beschluss des Amtsgerichts Freiburg im Breisgau vom 5. Juni 2013 (samt Rechtsmittelbelehrung) die Rede ist (act. 1.7). Der Inhalt des Schreibens und des Beschlusses vom 5. Juni 2013 geht aus dem Empfangsschein jedoch nicht hervor. Insbesondere legte der Beschwerdeführer den von ihm behaupteten Beschluss vom 5. Juni 2013 weder dem Bundesstrafgericht vor noch äusserte er sich zu dessen Inhalt (act. 1). Aus diesem Grund ist davon auszugehen, dass es sich lediglich um ein Versehen handelt und die Staatsanwaltschaft des Kantons Zürich dem Beschwerdeführer den Beschluss des Amtsgerichts Freiburg im Breisgau vom 4. Juni 2013 eröffnet hatte. Davon gehen im Übrigen sowohl der Be- schwerdegegner als auch das Bundesgericht im Urteil 1C_668/2019 vom 30. Dezember 2019 aus (E. 1.3). Eine schwerwiegende Verletzung von Ver- fahrensrechten ist in diesem Zusammenhang deshalb nicht auszumachen. Selbst wenn der Beschwerdeführer den Beschluss vom 4. Juni 2013 nicht im Jahr 2013 erhalten haben sollte, hatte er von diesem spätestens im Auslie- ferungsverfahren Kenntnis erhalten. Dass er oder sein Rechtsvertreter we- gen der angeblich fehlenden Eröffnung des Beschlusses vom 4. Juni 2013 bei den deutschen Behörden interveniert hätten, wird von ihm nicht behaup- tet. Der Vollständigkeit halber sei angemerkt, dass es dem Beschwerdefüh- rer freisteht, allfällige Verfahrensmängel im deutschen Vollstreckungsverfah- ren geltend zu machen. Die Beschwerde ist diesbezüglich abzuweisen.</w:t>
      </w:r>
    </w:p>
    <w:p>
      <w:r>
        <w:rPr>
          <w:b/>
        </w:rPr>
        <w:t>E. 4.1</w:t>
      </w:r>
    </w:p>
    <w:p>
      <w:r>
        <w:t>Der Beschwerdeführer bringt vor, dass seine Auslieferung an Deutschland für die Vollstreckung einer Strafe verlangt wird, deren Mindestmass den staatsvertraglichen Anforderungen nicht genüge. Der Beschluss des Amts- gerichts Freiburg im Breisgau vom 4. Juni 2013, mit welchem die Gewährung der bedingten Freiheitsstrafe von zwei Jahren widerrufen worden sei, sei ihm nicht eröffnet worden. Die Staatsanwaltschaft Zürich habe ihm lediglich den Beschluss des Amtsgerichts Freiburg im Breisgau vom 5. Juni 2013 überge- ben. Er habe deshalb seine Verteidigungsrechte nicht wahrnehmen können und seine durch die EMRK garantierten Verfahrensrechte seien dadurch in schwerer Weise verletzt worden (act. 1, S. 4 ff.).</w:t>
      </w:r>
    </w:p>
    <w:p>
      <w:r>
        <w:rPr>
          <w:b/>
        </w:rPr>
        <w:t>E. 4.2</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betragen. In Abweichung vom EAUe wird im Verhältnis zwischen der Schweiz und Deutschland die Auslieferung gewährt, wenn das Mass einer noch zu vollstreckenden Strafe mindestens drei Monate beträgt (Art. II Abs. 1 ZV EAUe).</w:t>
      </w:r>
    </w:p>
    <w:p>
      <w:r>
        <w:rPr>
          <w:b/>
        </w:rPr>
        <w:t>E. 4.3</w:t>
      </w:r>
    </w:p>
    <w:p>
      <w:r>
        <w:t>Der Beschwerdegegner hat die Auslieferung des Beschwerdeführers an Deutschland für die dem Auslieferungsersuchen zugrundeliegende Strafta- ten (Betäubungsmitteldelikte) zwecks Vollzugs der widerrufenen Freiheits- strafe von mehr als drei Monaten bewilligt. Die Auslieferung ist damit grund-</w:t>
      </w:r>
    </w:p>
    <w:p>
      <w:r>
        <w:t>- 6 -</w:t>
      </w:r>
    </w:p>
    <w:p>
      <w:r>
        <w:t>sätzlich zulässig. Das vom Beschwerdeführer dagegen vorgebrachte Argu- ment, ihm sei der Beschluss des Amtsgerichts Freiburg im Breisgau vom</w:t>
      </w:r>
    </w:p>
    <w:p>
      <w:r>
        <w:rPr>
          <w:b/>
        </w:rPr>
        <w:t>E. 4.4</w:t>
      </w:r>
    </w:p>
    <w:p>
      <w:r>
        <w:t>Weshalb die Sache zur Neubeurteilung an den Beschwerdegegner zurück- zuweisen wäre, begründet der Beschwerdeführer nicht. Gründe hierfür ge- hen auch aus den vorliegenden Akten nicht hervor. Entsprechend ist das nicht begründete Eventualbegehren abzuweisen.</w:t>
      </w:r>
    </w:p>
    <w:p>
      <w:r>
        <w:rPr>
          <w:b/>
        </w:rPr>
        <w:t>E. 5</w:t>
      </w:r>
    </w:p>
    <w:p>
      <w:r>
        <w:t>Die Beschwerde erweist sich nach dem Gesagten als unbegründet und ist abzuweisen.</w:t>
      </w:r>
    </w:p>
    <w:p>
      <w:r>
        <w:rPr>
          <w:b/>
        </w:rPr>
        <w:t>E. 6</w:t>
      </w:r>
    </w:p>
    <w:p>
      <w:r>
        <w:t>Bei diesem Ausgang des Verfahrens sind die Gerichtskosten dem Be- schwerdeführer aufzuerlegen (Art. 63 Abs. 1 VwVG). Die Gerichtsgebühr ist auf Fr. 2‘000.-- festzusetzen (vgl. Art. 63 Abs. 5 VwVG und Art. 73 StBOG</w:t>
      </w:r>
    </w:p>
    <w:p>
      <w:r>
        <w:t>- 7 -</w:t>
      </w:r>
    </w:p>
    <w:p>
      <w:r>
        <w:t>sowie Art. 5 und 8 Abs. 3 lit. a des Reglements des Bundesstrafgerichts vom 31. August 2010 über die Kosten, Gebühren und Entschädigungen in Bun- desstrafverfahren [BStKR; SR 173.713.162]), unter Anrechnung des geleis- teten Kostenvorschuss in gleicher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