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RR.2019.330 vom 14. Januar 2020</w:t>
      </w:r>
    </w:p>
    <w:p>
      <w:r>
        <w:t>Bundesstrafgericht, 2020-01-14, DE</w:t>
      </w:r>
    </w:p>
    <w:p>
      <w:r>
        <w:rPr>
          <w:b/>
        </w:rPr>
        <w:t xml:space="preserve">Quelle: </w:t>
      </w:r>
      <w:r>
        <w:t>https://mcp.opencaselaw.ch/entscheid/bstger_RR.2019.330</w:t>
      </w:r>
    </w:p>
    <w:p>
      <w:r>
        <w:t>FR: TPF RR.2019.330 du 14 janvier 2020</w:t>
      </w:r>
    </w:p>
    <w:p>
      <w:r>
        <w:t>IT: TPF RR.2019.330 del 14 gennaio 2020</w:t>
      </w:r>
    </w:p>
    <w:p>
      <w:pPr>
        <w:pStyle w:val="Heading2"/>
      </w:pPr>
      <w:r>
        <w:t>Regeste</w:t>
      </w:r>
    </w:p>
    <w:p>
      <w:r>
        <w:t>Internationale Rechtshilfe in Strafsachen an die USA. Vorläufige Massnahmen (Art. 8 BG-RVUS). Aufschiebende Wirkung (Art. 19a BG-RVUS).</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(mit Briefwechseln, RVUS; 0.351.933.6) sowie das hierzu erlassene BG-RVUS massgebend.</w:t>
      </w:r>
    </w:p>
    <w:p>
      <w:r>
        <w:rPr>
          <w:b/>
        </w:rPr>
        <w:t>E. 1.2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w:t>
      </w:r>
    </w:p>
    <w:p>
      <w:r>
        <w:t>- 4 -</w:t>
      </w:r>
    </w:p>
    <w:p>
      <w:r>
        <w:t>Anforderungen an die Rechtshilfe stellt (vgl. Art. 38 Abs. 1 RVUS; BGE 145 IV 294 E. 2.1 S. 297; 142 IV 250 E. 3; 140 IV 123 E. 2 S. 126). Vorbehalten bleibt die Wahrung der Menschenrechte (BGE 145 IV 294 E. 2.1 S. 297;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BG-RVUS). Der Schlussverfügung vorangehende Zwischenverfügungen nach Art. 11 BG- RVUS können selbstständig angefochten werden (Art. 17 Abs. 1bis und Art. 11 Abs. 3 BG-RVUS). Die Zentralstelle erlässt ohne Verzug eine solche Zwischenverfügung, wenn glaubhaft gemacht ist, dass eine Rechtshilfe- handlung einen unmittelbaren und nicht wieder gutzumachenden Nachteil verursacht (Art. 11 Abs. 1 lit. a Ziff. 1 BG-RVUS).</w:t>
      </w:r>
    </w:p>
    <w:p>
      <w:r>
        <w:rPr>
          <w:b/>
        </w:rPr>
        <w:t>E. 2.2</w:t>
      </w:r>
    </w:p>
    <w:p>
      <w:r>
        <w:t>Erscheint die Ausführung des Ersuchens nicht offensichtlich unzulässig oder unzweckmässig, so können die Zentralstelle sowie die ausführende Behörde von Amtes wegen oder auf Ansuchen einer Partei oder der amerikanischen Zentralstelle vorläufige Massnahmen zur Erhaltung des bestehenden Zu- standes, zur Wahrung bedrohter rechtlicher Interessen oder zur Sicherung gefährdeter Beweismittel anordnen (Art. 8 Abs. 1 BG-RVUS). Die Zentral- stelle kann solche Massnahmen auch treffen, sobald ein Ersuchen angekün- digt ist, wenn zur Beurteilung der Voraussetzungen ausreichende Angaben vorliegen (Art. 8 Abs. 3 BG-RVUS). Die Zentralstelle trifft vorläufige Mass- nahmen ohne Anhören der Beteiligten (Art. 10 Abs. 2 BG-RVUS). Die Be- schwerde gegen entsprechende Verfügungen hat keine aufschiebende Wir- kung (Art. 8 Abs. 4 BG-RVUS). Hätte eine Beschwerde gegen eine Verfü- gung betreffend vorläufige Massnahmen eine aufschiebende Wirkung, so wären diese Massnahmen sinnlos (Botschaft vom 29. März 1995 betreffend die Änderung des Rechtshilfegesetzes und des Bundesgesetzes zum Staatsvertrag mit den USA über gegenseitige Rechtshilfe in Strafsachen so- wie den Bundesbeschluss über einen Vorbehalt zum Europäischen Überein- kommen über die Rechtshilfe in Strafsachen, BBl 1995 III 18).</w:t>
      </w:r>
    </w:p>
    <w:p>
      <w:r>
        <w:rPr>
          <w:b/>
        </w:rPr>
        <w:t>E. 2.3</w:t>
      </w:r>
    </w:p>
    <w:p>
      <w:r>
        <w:t>Die vorliegende Beschwerde richtet sich gegen eine gestützt auf Art. 8 BG- RVUS ergangene vorläufige Sperrung von Vermögenswerten der Beschwer-</w:t>
      </w:r>
    </w:p>
    <w:p>
      <w:r>
        <w:t>- 5 -</w:t>
      </w:r>
    </w:p>
    <w:p>
      <w:r>
        <w:t>deführerin (act. 1.2, Beilage 2). Diese erging ohne vorgängige Anhörung der Beschwerdeführerin (Art. 10 Abs. 2 BG-RVUS). Eine selbstständig anfecht- bare Zwischenverfügung erlässt die Beschwerdegegnerin u.a. jedoch erst dann, wenn glaubhaft gemacht ist, dass eine Rechtshilfehandlung einen un- mittelbaren und nicht wieder gutzumachenden Nachteil verursacht (Art. 11 Abs. 1 lit. a Ziff. 1 BG-RVUS). Aufgrund des Wortlauts des Gesetzes ist somit davon auszugehen, dass eine anfechtbare Zwischenverfügung erst nach ei- ner entsprechenden Intervention der betroffenen Person bei der Beschwer- degegnerin erlassen wird (vgl. zu diesem Vorgehen auch die Zusammenfas- sung des Sachverhalts in TPF 2011 131, wo die Beschwerdeführerin die Be- schwerdegegnerin nach Kenntnisnahme einer vorläufigen Kontosperre aus- drücklich erst um den Erlass einer anfechtbaren Verfügung ersuchte). Auch die der Verfügung vom 28. November 2019 beigegebene Rechtsmittelbeleh- rung hält fest, dass die betroffene Person die Beschwerdegegnerin ersuchen kann, ohne Verzug eine Zwischenverfügung zu erlassen, wenn glaubhaft ge- macht ist, dass eine Rechtshilfehandlung einen unmittelbaren und nicht wie- der gutzumachenden Nachteil verursacht (act. 1.2, Beilage 2, S. 3). Die Be- schwerdeführerin hat jedoch von einer entsprechenden Intervention bei der Beschwerdegegnerin abgesehen und der Beschwerdekammer sofort die vorliegende Beschwerde eingereicht. Nach dem Gesagten liegt jedoch noch gar keine selbstständig anfechtbare Zwischenverfügung und damit auch kein gültiges Anfechtungsobjekt vor.</w:t>
      </w:r>
    </w:p>
    <w:p>
      <w:r>
        <w:rPr>
          <w:b/>
        </w:rPr>
        <w:t>E. 3</w:t>
      </w:r>
    </w:p>
    <w:p>
      <w:r>
        <w:t>Aufgrund des vorstehend Ausgeführten erweist sich die vorliegende Be- schwerde als unzulässig, weshalb auf diese nicht einzutreten ist.</w:t>
      </w:r>
    </w:p>
    <w:p>
      <w:r>
        <w:rPr>
          <w:b/>
        </w:rPr>
        <w:t>E. 4</w:t>
      </w:r>
    </w:p>
    <w:p>
      <w:r>
        <w:t>Bei diesem Ausgang des Verfahrens ist das Nebenverfahren betreffend auf- schiebende Wirkung zufolge Gegenstandslosigkeit abzuschreiben.</w:t>
      </w:r>
    </w:p>
    <w:p>
      <w:r>
        <w:rPr>
          <w:b/>
        </w:rPr>
        <w:t>E. 5</w:t>
      </w:r>
    </w:p>
    <w:p>
      <w:r>
        <w:t>Bei diesem Ausgang des Verfahrens sind die Gerichtskosten der unterlie- genden Beschwerdeführerin aufzuerlegen (Art. 63 Abs. 1 VwVG). Die Ge- richtsgebühr ist auf Fr. 500.– festzusetzen (Art. 63 Abs. 5 VwVG i.V.m. Art. 73 StBOG sowie Art. 5 und 8 Abs. 3 lit. b des Reglements des Bun- desstrafgerichts vom 31. August 2010 über die Kosten, Gebühren und Ent- schädigungen in Bundesstrafverfahren [BStKR; SR 173.713.162]), unter An- rechnung des entsprechenden Betrages aus dem geleisteten Kostenvor- schuss von Fr. 2‘500.– (act. 3 und 5). Die Bundesstrafgerichtskasse ist an- zuweisen, dem Vertreter der Beschwerdeführerin Fr. 2‘000.– zurückzuerstat- 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