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RR.2019.327 vom 6. April 2020</w:t>
      </w:r>
    </w:p>
    <w:p>
      <w:r>
        <w:t>Bundesstrafgericht, 2020-04-06, IT</w:t>
      </w:r>
    </w:p>
    <w:p>
      <w:r>
        <w:rPr>
          <w:b/>
        </w:rPr>
        <w:t xml:space="preserve">Quelle: </w:t>
      </w:r>
      <w:r>
        <w:t>https://mcp.opencaselaw.ch/entscheid/bstger_RR.2019.327</w:t>
      </w:r>
    </w:p>
    <w:p>
      <w:r>
        <w:t>FR: TPF RR.2019.327 du 6 avril 2020</w:t>
      </w:r>
    </w:p>
    <w:p>
      <w:r>
        <w:t>IT: TPF RR.2019.327 del 6 aprile 2020</w:t>
      </w:r>
    </w:p>
    <w:p>
      <w:pPr>
        <w:pStyle w:val="Heading2"/>
      </w:pPr>
      <w:r>
        <w:t>Regeste</w:t>
      </w:r>
    </w:p>
    <w:p>
      <w:r>
        <w:t>Assistenza giudiziaria internazionale in materia penale alla Città del Vaticano. Misure provvisionali (art. 18 AIMP). Effetto sospensivo (art. 80l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 DTF 142 IV 250 consid. 3; 140 IV 123 consid. 2; 137 IV 33 consid. 2.2.2; 136 IV 82 consid. 3.1).</w:t>
      </w:r>
    </w:p>
    <w:p>
      <w:r>
        <w:rPr>
          <w:b/>
        </w:rPr>
        <w:t>E. 1.3</w:t>
      </w:r>
    </w:p>
    <w:p>
      <w:r>
        <w:t>Il ricorso è stato tempestivamente interposto contro una decisione di blocco di conti bancari dell'autorità federale d'esecuzione (v. art. 80k AIMP). Le decisioni incidentali anteriori alla decisione di chiusura possono essere impugnate sepa- ratamente se causano un pregiudizio immediato e irreparabile mediante il se- questro di beni e valori oppure la presenza di persone che partecipano al pro- cesso (art. 80e cpv. 2 AIMP). Titolare delle relazioni n. 1, 2, 3 e 4 presso la banca G., oggetto della decisione impugnata, il ricorrente dispone della legitti- mazione ricorsuale (v. art. 80h lett. b AIMP e art. 9a OAIMP; DTF 118 Ib 547 consid. 1d; TPF 2007 79 consid. 1.6 pag. 82).</w:t>
      </w:r>
    </w:p>
    <w:p>
      <w:r>
        <w:rPr>
          <w:b/>
        </w:rPr>
        <w:t>E. 2</w:t>
      </w:r>
    </w:p>
    <w:p>
      <w:r>
        <w:t>In sede di replica, il ricorrente ha domandato di poter ottenere le richieste di sequestro del 12 e 20 dicembre 2019 inoltrate dall’autorità rogante, di cui il MPC ha riferito in sede di risposta (v. act. 9, pag. 3), comprensive di tutta la documentazione riferita alle stesse, con l’assegnazione di un termine di dieci giorni per eventualmente prendere posizione sulla documentazione (v. act. 11, pag. 4 e 14).</w:t>
      </w:r>
    </w:p>
    <w:p>
      <w:r>
        <w:t>- 5 -</w:t>
      </w:r>
    </w:p>
    <w:p>
      <w:r>
        <w:t>Ora, nella misura in cui le richieste rogatoriali in questione, come riferito dal MPC, non riguardano il ricorrente (v. act. 16, pag. 2), la domanda di quest’ul- timo va respinta.</w:t>
      </w:r>
    </w:p>
    <w:p>
      <w:r>
        <w:rPr>
          <w:b/>
        </w:rPr>
        <w:t>E. 3</w:t>
      </w:r>
    </w:p>
    <w:p>
      <w:r>
        <w:t>Il ricorrente sostiene che l’autorità richiedente, che avrebbe presentato un espo- sto dei fatti insufficiente, basato anche su articoli di giornali, non avrebbe nem- meno lontanamente reso verosimile l’esistenza di un reato da lui commesso. La medesima non avrebbe neppure affermato ch’egli è indagato in Vaticano. Il MPC non avrebbe dovuto dare seguito alla rogatoria, difettando persino prima facie il requisito della doppia punibilità. A suo dire, il fatto per lui di conoscere persone menzionate dagli atti d’inchiesta o che la moglie sia conduttrice di un’unità abitativa in un complesso di Londra, non possono assumere una con- notazione penale. I sequestri contestati, che costituirebbero un’operazione di fishing expedition, avrebbero causato a lui e alla sua famiglia enormi difficoltà di gestione quotidiana. In definitiva, non essendo dati i requisiti per accogliere le richieste rogatoriali, le misure contestate, di cui viene chiesta la revoca, non avrebbero dovuto essere adottate. Esse provocherebbero danni ingenti e irri- mediabili, non giustificati dal principio della proporzionalità. In sede di replica, l’insorgente, oltre a ribadire l’inammissibilità manifesta della rogatoria estera e a cercare di spiegare e di dimostrare la legalità dell’operazione immobiliare og- getto delle indagini estere, ha prodotto della documentazione attestante obbli- ghi finanziari di società a lui riconducibili, segnatamente della B. AG, soste- nendo di avere reso sufficientemente verosimile l’insorgenza per lui di un pre- giudizio immediato e irreparabile derivante dalle contestate misure (v. act. 11.1).</w:t>
      </w:r>
    </w:p>
    <w:p>
      <w:r>
        <w:rPr>
          <w:b/>
        </w:rPr>
        <w:t>E. 3.1.1</w:t>
      </w:r>
    </w:p>
    <w:p>
      <w:r>
        <w:t>Giusta l’art. 18 AIMP, a espressa domanda di uno Stato estero l’autorità com- petente può prendere misure provvisionali per mantenere lo stato esistente, per salvaguardare interessi giuridici minacciati o per assicurare prove in pericolo, purché il procedimento secondo la presente legge non appaia manifestamente inammissibile o inappropriato (cpv. 1). Se vi è pericolo nel ritardo e qualora vi siano indicazioni sufficienti per giudicare se i presupposti sono adempiuti, que- ste misure possono anche essere ordinate dall’Ufficio federale appena annun- ciata la domanda. Esse sono annullate se lo Stato estero non presenta la do- manda entro il termine stabilito (cpv. 2). I ricorsi contro le decisioni giusta il pre- sente articolo non hanno effetto sospensivo (cpv. 3).</w:t>
      </w:r>
    </w:p>
    <w:p>
      <w:r>
        <w:rPr>
          <w:b/>
        </w:rPr>
        <w:t>E. 3.1.2</w:t>
      </w:r>
    </w:p>
    <w:p>
      <w:r>
        <w:t>In concreto, il MPC, in data 15 novembre 2019, ha ricevuto dall’Ufficio di comu- nicazione in materia di riciclaggio di denaro (in seguito: MROS) una comunica- zione di sospetto ai sensi dell’art. 9 cpv. 1 lett. a LRD effettuata dalla banca G. il 25 ottobre 2019, relativa, tra l’altro, a conti riconducibili a A. Tale comunica- zione traeva origine da articoli di stampa internazionale che riferivano di opera- zioni di investimento e di compravendita immobiliari intervenute a Londra da</w:t>
      </w:r>
    </w:p>
    <w:p>
      <w:r>
        <w:t>- 6 -</w:t>
      </w:r>
    </w:p>
    <w:p>
      <w:r>
        <w:t>parte della Segreteria di Stato della Città del Vaticano finanziati, almeno in parte, con fondi legati all’Obolo di San Pietro. Risultava inoltre che le autorità del Vaticano stavano conducendo un procedimento penale per chiarire la vi- cenda e che il ricorrente potesse essere coinvolto (v. act. 9, pag. 2). A seguito di tale comunicazione, il MPC, in data 21 novembre 2019, ha proceduto ad una trasmissione spontanea d’informazioni giusta l’art. 67a AIMP alle competenti autorità dello Stato della Città del Vaticano, segnalando le relazioni riconducibili al ricorrente e ad altre persone fisiche e giuridiche (v. act. 9.2). Sulla base di tale trasmissione, le autorità del Vaticano, in data 22 novembre 2019, hanno richiesto il blocco delle relazioni bancarie riconducibili a svariate persone, tra le quali quelle del ricorrente (v. act. 9.1). Con tale richiesta, l’autorità estera ha informato quella svizzera del procedimento penale da lei condotto per i reati di peculato, corruzione, riciclaggio, truffa e altri reati. Essa ha parimenti illustrato a grandi linee i fatti oggetto d’inchiesta, i sospetti di reato nonché le persone fisiche e giuridiche coinvolte. Ora, alla luce dell’urgenza con la quale l’autorità rogata doveva intervenire, dei sufficienti elementi portati alla sua conoscenza dall’autorità rogante, i quali non facevano apparire come manifestamente inam- missibile la procedura rogatoriale, segnatamente in ottica del rispetto del prin- cipio della doppia punibilità, l’autorità svizzera ha correttamente dato seguito alle richieste dell’autorità estera. Nel rispetto dell’art. 18 cpv. 2 AIMP, il MPC ha fissato all’autorità rogante un termine di due mesi per presentare una formale domanda di assistenza giudiziaria (v. act. 9.2, pag. 3), termine che scadeva il</w:t>
      </w:r>
    </w:p>
    <w:p>
      <w:r>
        <w:rPr>
          <w:b/>
        </w:rPr>
        <w:t>E. 3.1.3</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3.1.4</w:t>
      </w:r>
    </w:p>
    <w:p>
      <w:r>
        <w:t>In concreto, occorre innanzitutto rilevare che, nella misura in cui, il 17 gennaio 2020, il MPC ha ordinato il dissequestro delle relazioni n. 2 e n. 4 presso la</w:t>
      </w:r>
    </w:p>
    <w:p>
      <w:r>
        <w:t>- 7 -</w:t>
      </w:r>
    </w:p>
    <w:p>
      <w:r>
        <w:t>banca G., dando quindi parzialmente seguito alle conclusioni del ricorrente, il gravame è divenuto parzialmente privo d’oggetto (v. act. 16.3).</w:t>
      </w:r>
    </w:p>
    <w:p>
      <w:r>
        <w:rPr>
          <w:b/>
        </w:rPr>
        <w:t>E. 3.1.5</w:t>
      </w:r>
    </w:p>
    <w:p>
      <w:r>
        <w:t>In sede di replica, il ricorrente ha prodotto documentazione attestante impegni finanziari di società a lui riconducibili, segnatamente della B. AG (v. act. 1.11). Ora, premesso che gli atti inoltrati riguardano tale società e non il ricorrente medesimo, quest’ultimo non ha prodotto alcuna documentazione che permetta di chiarire la sua situazione economica, omettendo in particolare di indicare sia i suoi redditi che il suo patrimonio, per cui a queste condizioni risulta impossibile per questa Corte valutare l’effettiva esistenza di pregiudizi immediati ed irrepa- rabili in capo al ricorrente. In altre parole, il ricorrente non ha dimostrato di non disporre di altri mezzi per far fronte ai suoi impegni finanziari. Di fronte ad un quadro finanziario così lacunoso e poco trasparente non basta allegare e docu- mentare la sussistenza di singoli impegni finanziari, peraltro non del ricorrente ma di sue società, ma incombe al ricorrente produrre tutta la documentazione necessaria per fare chiarezza sull’esistenza di un effettivo pregiudizio ai sensi della giurisprudenza sopraccitata.</w:t>
      </w:r>
    </w:p>
    <w:p>
      <w:r>
        <w:rPr>
          <w:b/>
        </w:rPr>
        <w:t>E. 3.2</w:t>
      </w:r>
    </w:p>
    <w:p>
      <w:r>
        <w:t>Da quanto sopra discende che il ricorso, nella misura in cui non divenuto privo d’oggetto per parziale acquiescenza (v. supra consid. 3.1.4), è inammissibile già per la mancanza di un pregiudizio immediato e irreparabile giusta l’art. 80e cpv. 2 lett. a AIMP, il che rende superfluo l'esame delle restanti censure.</w:t>
      </w:r>
    </w:p>
    <w:p>
      <w:r>
        <w:t>4. Visto quanto precede, la richiesta di concessione dell’effetto sospensivo è dive- nuta priva d’oggetto.</w:t>
      </w:r>
    </w:p>
    <w:p>
      <w:r>
        <w:rPr>
          <w:b/>
        </w:rPr>
        <w:t>E. 5</w:t>
      </w:r>
    </w:p>
    <w:p>
      <w:r>
        <w:t>febbraio 2020 (v. act. 9, pag. 3).</w:t>
      </w:r>
    </w:p>
    <w:p>
      <w:r>
        <w:rPr>
          <w:b/>
        </w:rPr>
        <w:t>E. 5.1</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 sto 2010 sulle spese, gli emolumenti, le ripetibili e le indennità della procedura penale federale (RSPPF; RS 173.713.162), ed è fissata nella fattispecie a com- plessivi fr. 3'000.–. Essa è coperta dall’anticipo delle spese già versato di fr. 6'000.–. La Cassa del Tribunale restituirà al ricorrente il saldo di fr. 3'000.–. A carico dell’autorità che ha parzialmente revocato la decisione impugnata non vengono per contro accollate spese (v. sentenza del Tribunale penale federale RR.2016.113 del 18 agosto 2016 con rinvii).</w:t>
      </w:r>
    </w:p>
    <w:p>
      <w:r>
        <w:rPr>
          <w:b/>
        </w:rPr>
        <w:t>E. 5.2</w:t>
      </w:r>
    </w:p>
    <w:p>
      <w:r>
        <w:t>Giusta l'art. 64 cpv. 1 PA l'autorità di ricorso, se ammette il ricorso tutto o in parte, può, d'ufficio o a domanda, assegnare al ricorrente un'indennità per le spese indispensabili e relativamente elevate che ha sopportato. Il regolamento</w:t>
      </w:r>
    </w:p>
    <w:p>
      <w:r>
        <w:t>- 8 -</w:t>
      </w:r>
    </w:p>
    <w:p>
      <w:r>
        <w:t>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tenuto conto dell’entità della parziale acquiescenza (v. supra consid. 3.1.4) appare adeguato un onorario di fr. 1’000.–. L'indennità è messa a carico del Ministero pubblico della Confederazione in quanto autorità inferiore giusta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