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RR.2019.321 vom 5. Oktober 2020</w:t>
      </w:r>
    </w:p>
    <w:p>
      <w:r>
        <w:t>Bundesstrafgericht, 2020-10-05, FR</w:t>
      </w:r>
    </w:p>
    <w:p>
      <w:r>
        <w:rPr>
          <w:b/>
        </w:rPr>
        <w:t xml:space="preserve">Quelle: </w:t>
      </w:r>
      <w:r>
        <w:t>https://mcp.opencaselaw.ch/entscheid/bstger_RR.2019.321</w:t>
      </w:r>
    </w:p>
    <w:p>
      <w:r>
        <w:t>FR: TPF RR.2019.321 du 5 octobre 2020</w:t>
      </w:r>
    </w:p>
    <w:p>
      <w:r>
        <w:t>IT: TPF RR.2019.321 del 5 ottobre 2020</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t>- 5 -</w:t>
      </w:r>
    </w:p>
    <w:p>
      <w:r>
        <w:rPr>
          <w:b/>
        </w:rPr>
        <w:t>E. 1.2</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 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 ments font l’objet de la décision de clôture.</w:t>
      </w:r>
    </w:p>
    <w:p>
      <w:r>
        <w:rPr>
          <w:b/>
        </w:rPr>
        <w:t>E. 1.4.1</w:t>
      </w:r>
    </w:p>
    <w:p>
      <w:r>
        <w:t>En l’espèce, le compte n° 1 ouvert auprès de la banque C. l’a été au nom de la société A. Inc. L’instruction de la cause par l’Office USA a permis d’établir que la recourante est une société panaméenne, dissoute par décision de l’assemblée générale le 11 juillet 2018, soit une année et quatre mois avant que le présent recours ne soit formé (act. 9.16). Par courriers des 29 juillet et 23 août 2019 (act. 9.16 et 9.18), Me Carnicé expose que nonobstant la dissolution de ladite société, en application de l’art. 85 de la loi n° 32 sur les sociétés anonymes du 26 février 1927 du Panama, la société continue d’exister pendant trois ans à compter de sa dissolution pour régler tout litige.</w:t>
      </w:r>
    </w:p>
    <w:p>
      <w:r>
        <w:rPr>
          <w:b/>
        </w:rPr>
        <w:t>E. 1.4.2</w:t>
      </w:r>
    </w:p>
    <w:p>
      <w:r>
        <w:t>Il s’agit, donc, de déterminer si, selon le droit panaméen, la recourante disposait de la capacité d’ester en justice au moment où elle a déposé son recours en date du 27 novembre 2019. La Cour de céans a déjà eu l'occasion de se prononcer sur cette question (arrêts du Tribunal pénal fédéral RR.2012.189 du 13 février 2013 consid. 1.3; RR.2012.160 du 10 octobre 2012 consid. 1.3.2.b/bb). Elle a considéré qu’en vertu de la disposition panaméenne précitée (consid. 1.4.1), la société dissoute ne perd pas automatiquement toute personnalité juridique, mais que cette dernière peut être maintenue durant la phase de liquidation et ce pour une durée de trois ans.</w:t>
      </w:r>
    </w:p>
    <w:p>
      <w:r>
        <w:rPr>
          <w:b/>
        </w:rPr>
        <w:t>E. 1.4.3</w:t>
      </w:r>
    </w:p>
    <w:p>
      <w:r>
        <w:t>Il apparaît en l’occurrence que A. Inc. a été dissoute moins de trois ans avant le dépôt du recours et rien ne démontre, en l’état, qu’elle aurait déjà été liquidée. Ainsi, conformément à la jurisprudence susmentionnée (consid. 1.4.2), A. Inc. a la qualité pour agir.</w:t>
      </w:r>
    </w:p>
    <w:p>
      <w:r>
        <w:rPr>
          <w:b/>
        </w:rPr>
        <w:t>E. 1.5</w:t>
      </w:r>
    </w:p>
    <w:p>
      <w:r>
        <w:t>Compte tenu de ce qui précède, il convient d’entrer en matière.</w:t>
      </w:r>
    </w:p>
    <w:p>
      <w:r>
        <w:t>- 6 -</w:t>
      </w:r>
    </w:p>
    <w:p>
      <w:r>
        <w:rPr>
          <w:b/>
        </w:rPr>
        <w:t>E. 2</w:t>
      </w:r>
    </w:p>
    <w:p>
      <w:r>
        <w:t>Le litige porte sur la question de savoir si l’Office USA a ordonné à juste titre la transmission à l’autorité requérante de la documentation bancaire relative au compte n° 1 ouvert auprès de la banque D. au nom de A. Inc. pour la période allant du 5 mars 2012 à sa clôture le 30 juin 2016 (act. 9.24).</w:t>
      </w:r>
    </w:p>
    <w:p>
      <w:r>
        <w:rPr>
          <w:b/>
        </w:rPr>
        <w:t>E. 3</w:t>
      </w:r>
    </w:p>
    <w:p>
      <w:r>
        <w:t>Dans un grief qu'il convient de traiter en premier lieu compte tenu de sa nature formelle (ATF 137 I 195 consid. 2.2), la recourante fait valoir une violation de son droit d’être entendue. Elle allègue que certaines pièces justificatives relatives à son compte n° 1 auprès de la banque D. ne lui auraient été communiquées par l’Office USA que le 22 novembre 2019, soit un mois après que l’ordonnance de clôture du 25 octobre 2019 ne soit rendue. Le droit d’être entendu aurait été ainsi gravement violé, ce d’autant plus que l’Office USA aurait refusé, par la suite, d’accorder un délai à la recourante pour se déterminer (act. 1, p. 26).</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3.2</w:t>
      </w:r>
    </w:p>
    <w:p>
      <w:r>
        <w:t>Le droit d'être entendu, garanti par l'art. 29 al. 2 Cst., prévoit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w:t>
      </w:r>
    </w:p>
    <w:p>
      <w:r>
        <w:t>- 7 -</w:t>
      </w:r>
    </w:p>
    <w:p>
      <w:r>
        <w:t>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3.3</w:t>
      </w:r>
    </w:p>
    <w:p>
      <w:r>
        <w:t>En l’espèce, la recourante a eu accès au dossier au moyen d’une clé USB, reçue par l’Office USA le 26 juillet 2019 (act. 9.15) ainsi que le 11 octobre 2019 (act. 9.22). Elle a ainsi pu faire valoir ses observations auprès de l’OFJ USA par courriers du 23 août 2019 (act. 9.19) et du 21 octobre 2019 (act. 9.23). Toutefois, comme le reconnaît l’autorité d’exécution dans ses observations du 17 janvier 2020, il s’avère effectivement que certaines pièces justificatives relatives au compte no 1 au nom de A. Inc. ne figuraient pas sur ladite clé et n’ont donc pas été remises à la recourante avant la décision de clôture du 25 octobre 2019, mais seulement le 22 novembre 2019 (act. 9, p. 2). Ainsi, il appert que la société n’a pas eu l’occasion de s’exprimer sur ces documents avant que la décision de clôture ne soit rendue. A la lumière des principes rappelés au considérant précédent, un tel mode de procéder ne respecte pas le droit d’être entendu.</w:t>
      </w:r>
    </w:p>
    <w:p>
      <w:r>
        <w:rPr>
          <w:b/>
        </w:rPr>
        <w:t>E. 3.4</w:t>
      </w:r>
    </w:p>
    <w:p>
      <w:r>
        <w:t>Cela étant, une violation du droit d’être entendu peut être réparée lors de la procédure de recours. L’irrégularité ne doit cependant pas être particulière- ment grave et la partie concernée doit pouvoir s’exprimer et recevoir une décision motivée de la part de l’autorité de recours disposant d’un plein pouvoir de cognition en fait et en droit. Une violation du droit d'être entendu commise par l'autorité d'exécution est en principe guérissable dans le cadre de la procédure de recours auprès de la Cour de céans (arrêt du Tribunal fédéral 1C_168/2016 du 22 avril 2016 consid. 1.3.2). En matière 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w:t>
      </w:r>
    </w:p>
    <w:p>
      <w:r>
        <w:t>- 8 -</w:t>
      </w:r>
    </w:p>
    <w:p>
      <w:r>
        <w:t>du Tribunal pénal fédéral RR.2015.278 du 16 décembre 2015 consid. 2.1.3; ZIMMERMANN, La coopération judiciaire internationale en matière pénale, 5ème éd. 2019, n° 472, p. 509-510).</w:t>
      </w:r>
    </w:p>
    <w:p>
      <w:r>
        <w:rPr>
          <w:b/>
        </w:rPr>
        <w:t>E. 3.5</w:t>
      </w:r>
    </w:p>
    <w:p>
      <w:r>
        <w:t>Dans le cadre de la présente procédure de recours, le dossier, tel que remis par l’Office USA à la Cour de céans le 17 janvier 2020, a été communiqué à la recourante en dates des 26 juillet 2019 (act. 9.15), 11 octobre 2019 (act. 9.22) et 22 novembre 2019 (act. 9.26) soit avant l’échéance du délai de recours contre la décision de clôture du 25 octobre 2019 (act. 9.24). Elle a, ainsi, eu l’occasion de prendre connaissance du dossier complet, identifier les documents la concernant et motiver son recours du 27 novembre 2019 (act. 1). En tout état de cause, outre le fait que ces documents sont forcément connus de la recourante car titulaire de la relation bancaire liti- gieuse, cette dernière a pu s’exprimer largement et en pleine connaissance de cause devant l’autorité de recours (act. 1), laquelle dispose d’un libre pouvoir d’examen, de sorte que la violation du droit d’être entendu commise par l’autorité d’exécution a pu être réparée dans le cadre de la procédure devant la Cour de céans (arrêts du Tribunal pénal fédéral RR.2017.60-61 du 28 juin 2017 consid. 2.3 et références citées; RR.2017.149 du 23 octobre 2017 consid. 4.1.2). Il ne ressort, par ailleurs, pas non plus du dossier que l’autorité d’exécution viole systématiquement le droit d’être entendu. Ainsi, le grief doit-il être rejeté. Il sera néanmoins tenu compte du fait que l’argument tiré de la violation du droit d’être entendu n’était pas infondé lors du calcul de l’émolument de justice (infra consid. 8).</w:t>
      </w:r>
    </w:p>
    <w:p>
      <w:r>
        <w:rPr>
          <w:b/>
        </w:rPr>
        <w:t>E. 4</w:t>
      </w:r>
    </w:p>
    <w:p>
      <w:r>
        <w:t>Dans un second grief, la recourante conteste l’admissibilité de principe de l’entraide. Elle fait valoir l’incompétence des Etats-Unis pour instruire et juger les infractions reprochées à A. Inc., ce qui violerait l’art. 1 let. a TEJUS. Elle considère, en effet, qu’il n’y aurait pas de lien territorial entre les faits à l’origine de la demande de l’Etat requérant et A. Inc. ou son ayant droit économique E. En outre, même à admettre un tel lien, ni la recourante ni son ayant droit économique n’entreraient dans une des catégories de personnes pouvant être condamnées par la loi américaine sur la corruption dans les transactions (FCPA), qui fonderait la compétence territoriale aux Etats-Unis (act. 1, p. 15-18).</w:t>
      </w:r>
    </w:p>
    <w:p>
      <w:r>
        <w:rPr>
          <w:b/>
        </w:rPr>
        <w:t>E. 4.1</w:t>
      </w:r>
    </w:p>
    <w:p>
      <w:r>
        <w:t>Il faut qu'il existe dans l'Etat requérant à tout le moins une compétence répressive, quand bien même les autorités n'entendent pas effectivement l'exercer. L'entraide judiciaire internationale en matière pénale ne peut en effet être accordée qu'à un Etat susceptible de poursuivre les agissements décrits (ATF 126 II 212 consid. 6b; ZIMMERMANN, op. cit., no 565, p. 599). L'interprétation du droit de l'Etat requérant ressortit en premier lieu aux</w:t>
      </w:r>
    </w:p>
    <w:p>
      <w:r>
        <w:t>- 9 -</w:t>
      </w:r>
    </w:p>
    <w:p>
      <w:r>
        <w:t>autorités de cet Etat. Dès lors qu’elle s’examine au regard des règles de droit interne de l’Etat requérant, la compétence des autorités répressives de cet Etat est en général présumée (ATF 132 II 178 consid. 5.2). Aussi la Suisse ne saurait-elle dénier à l'autorité requérante sa compétence que si cette dernière fait clairement défaut, au point de rendre abusive la demande d'entraide (ATF 113 Ib 164 consid. 4).</w:t>
      </w:r>
    </w:p>
    <w:p>
      <w:r>
        <w:rPr>
          <w:b/>
        </w:rPr>
        <w:t>E. 4.2</w:t>
      </w:r>
    </w:p>
    <w:p>
      <w:r>
        <w:t>En l’occurrence, comme le relève l’Office USA, les autorités américaines ont indiqué dans leur demande d’entraide que B., associé de E., aurait été présent sur le sol américain lorsqu’il aurait ordonné certains paiements corruptifs. En effet, la commission rogatoire mentionne à sa page 4 que « sur la base des enregistrements des vols américains, le 23 avril 2013, le jour de la demande de virement, B. se trouvait aux Etats-Unis. Basé sur ce témoignage, B. a fréquemment procédé à ce type de surfacturation et de paiement de dessous-de-table » (act. 9.1, p. 4). En outre, des sommes importantes ont, ensuite, été blanchies dans l’Etat requérant, B. ayant transféré vers les Etats-Unis des sommes d’argent considérables depuis des relations bancaires ouvertes dans des établissements bancaires suisses, notamment, à la banque D. Entre 2011 et 2016, B. a, de surcroît, acheté plusieurs actifs immobiliers – au moins 10 appartements – dans le sud de la Floride, étant précisé qu’il semblerait que l’achat de certains appartements aurait été directement financé par un compte à la banque D. (act. 9.1, p. 6). Enfin, la recourante semble oublier que l'interprétation du droit de l'Etat requérant, à savoir la FCPA dans le cas d’espèce, ressortit en premier lieu aux autorités de cet Etat. En conséquence, la compétence répressive des Etats-Unis est manifestement donnée, de sorte que le grief doit être rejeté.</w:t>
      </w:r>
    </w:p>
    <w:p>
      <w:r>
        <w:rPr>
          <w:b/>
        </w:rPr>
        <w:t>E. 5</w:t>
      </w:r>
    </w:p>
    <w:p>
      <w:r>
        <w:t>La recourante se plaint ensuite, d’une violation des art. 29 TEJUS et art. 10 LTEJUS. La demande d’entraide serait imprécise, voire fausse en particulier en ce qui concerne les liens entre B. et E. B. n’aurait jamais eu un quel- conque intérêt ou contrôle de la société A. Inc., son ayant droit économique aurait toujours été E., lequel n’aurait jamais été associé à B. Les erreurs manifestes inhérentes à la commission rogatoire du 26 mars 2018 violeraient, en outre, le principe de la bonne foi (act. 1, p. 18-20).</w:t>
      </w:r>
    </w:p>
    <w:p>
      <w:r>
        <w:rPr>
          <w:b/>
        </w:rPr>
        <w:t>E. 5.1</w:t>
      </w:r>
    </w:p>
    <w:p>
      <w:r>
        <w:t>Ni le Traité ni la loi d'application y relative ne précisent la manière dont les autorités de l'Etat requérant doivent exposer les faits à la base de la procédure d'enquête. L'art.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w:t>
      </w:r>
    </w:p>
    <w:p>
      <w:r>
        <w:t>- 10 -</w:t>
      </w:r>
    </w:p>
    <w:p>
      <w:r>
        <w:t>nécessaires (let. b).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accompagnent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 293, p. 312).</w:t>
      </w:r>
    </w:p>
    <w:p>
      <w:r>
        <w:rPr>
          <w:b/>
        </w:rPr>
        <w:t>E. 5.2</w:t>
      </w:r>
    </w:p>
    <w:p>
      <w:r>
        <w:t>A teneur de l'art. 29 ch. 1 let. a TEJUS, l'exposé de l'autorité requérante doit permettre de vérifier l'existence d'une « présomption raisonnable » au sens de l'art. 1er ch. 2 du Traité, afin de prévenir les recherches indéterminées de moyens de preuve (ATF 118 Ib 547 consid. 3a p. 551). La partie requérante n'a en revanche pas à prouver, ni même à rendre vraisemblables les soupçons dont elle fait état, mais seulement à les exposer de manière suffisamment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contradictions patentes, faisant apparaître la démarche de l'Etat requérant comme un abus manifeste (arrêts du Tribunal fédéral 1A.99/2006 du 4 juillet 2006 consid. 2.1; 1A.147/2004 du 13 septembre 2004 consid. 3.1).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1A.218/2002 du 9 janvier 2003 consid. 2.1 et les références citées). Toutefois, l'octroi de l'entraide n'implique pas que la personne soumise à la mesure de contrainte dans l'Etat requis soit elle-même accusée dans l'Etat requérant. Il suffit que, dans ce dernier Etat, une procédure pénale soit ouverte contre une personne sur</w:t>
      </w:r>
    </w:p>
    <w:p>
      <w:r>
        <w:t>- 11 -</w:t>
      </w:r>
    </w:p>
    <w:p>
      <w:r>
        <w:t>laquelle pèsent des charges donnant lieu à l'entraide et que des investigations en Suisse soient nécessaires pour les besoins de cette procédure (arrêt du Tribunal fédéral 1A.218/2002 du 9 janvier 2003 consid. 3.2; arrêts du Tribunal pénal fédéral RR.2013.217-218 du 23 septembre 2013 consid. 3.1; RR.2009.64 du 27 août 2009 consid. 5.8; RR.2008.209 du 14 janvier 2009 consid. 2).</w:t>
      </w:r>
    </w:p>
    <w:p>
      <w:r>
        <w:rPr>
          <w:b/>
        </w:rPr>
        <w:t>E. 5.3</w:t>
      </w:r>
    </w:p>
    <w:p>
      <w:r>
        <w:t>In casu, l’Etat requérant expose dans sa demande d’entraide du 26 mars 2018, qu’il mène une enquête notamment contre B. et la société A. Inc. pour avoir œuvré en vue d’utiliser des banques suisses pour faciliter le paiement de pots-de-vin et/ou des dessous-de-tables à des fonctionnaires vénézuéliens en échange de marchés pour les denrées alimentaires et les expéditions de celles-ci à destination d’entreprises alimentaires publiques vénézuéliennes (act. 9.1, p. 1). Les autorités américaines ont identifié, au moyen de témoignages, documents dans le domaine public et registres des sociétés, que B. et E., seraient associés et auraient contrôlé ensemble plusieurs sociétés dont la recourante. Plus spécifiquement, la commission rogatoire expose que notamment A. Inc., ayant un compte à la banque D. en Suisse, a reçu des fonds en provenance de l'entreprise C. entre 2012 et 2015, via un compte en banque correspondant à la banque P., aux Etats- Unis. Plusieurs transferts ont ensuite été ordonnés par B. depuis des comptes de la banque D. appartenant aux différentes sociétés sous enquête américaine, vers les Etats-Unis, puis investis dans des appartements dans le sud de la Floride (act. 9.1, p. 5-6).</w:t>
      </w:r>
    </w:p>
    <w:p>
      <w:r>
        <w:rPr>
          <w:b/>
        </w:rPr>
        <w:t>E. 5.4</w:t>
      </w:r>
    </w:p>
    <w:p>
      <w:r>
        <w:t>N’en déplaise à la recourante, une telle motivation respecte pleinement les exigences légales rappelées plus haut (supra consid. 5.1 et 5.2). En effet, l’Etat requérant présente à satisfaction les faits – soit le comportement reproché à la recourante du schéma corruptif sous enquête – lesquels apparaissent suffisamment précis et circonstanciés pour permettre de comprendre en quoi consistent leurs soupçons. Par ailleurs, il sied de rappeler que l’autorité suisse d’entraide n’a pas à se prononcer sur la vraisemblance de ces soupçons. Par surabondance, rien ne permet en l’état d’affirmer que le contenu de la requête serait erroné ou que celle-ci contiendrait des contradictions patentes, le principe de la bonne foi entre Etats étant effectivement applicable et il n’appartient, dès lors, pas à l’autorité suisse de remettre en cause les déclarations de l’Etat requérant. Au vu de ce qui précède, le grief, sous l’angle du contenu de la demande d’entraide, est mal fondé et doit, donc, être rejeté.</w:t>
      </w:r>
    </w:p>
    <w:p>
      <w:r>
        <w:rPr>
          <w:b/>
        </w:rPr>
        <w:t>E. 6</w:t>
      </w:r>
    </w:p>
    <w:p>
      <w:r>
        <w:t>Enfin, la recourante se plaint d’une violation des principes de la proportionnalité et de l’utilité potentielle. Elle allègue que certaines pièces,</w:t>
      </w:r>
    </w:p>
    <w:p>
      <w:r>
        <w:t>- 12 -</w:t>
      </w:r>
    </w:p>
    <w:p>
      <w:r>
        <w:t>remises par l’Office USA à cette dernière, ne tomberaient pas dans la période expressément visée dans la décision de clôture du 25 octobre 2019 (act. 1, p. 24-25). En outre, A. Inc. explique que la transmission de la documentation demandée serait sans rapport avec la procédure étrangère et d’aucune utilité pour faire progresser les investigations américaines, ce d’autant plus qu’il n’existerait pas d’enquête aux Etats-Unis contre la recourante. Il s’agirait simplement d’une fishing expedition (act. 1, p. 23). Ainsi, la recourante n’étant impliquée dans aucun schéma corruptif, il conviendrait, à titre subsidiaire, de ne transmettre que la lettre de la banque D. du 21 août 2019, dans laquelle la banque confirme qu’il n’existe aucune transaction entre le compte de la recourante et les autres relations bancaires mentionnées dans la requête d’entraide, ce qui serait suffisant pour constater l’absence de lien entre les documents à transmettre et l’enquête contre B. (act. 1, p. 24).</w:t>
      </w:r>
    </w:p>
    <w:p>
      <w:r>
        <w:rPr>
          <w:b/>
        </w:rPr>
        <w:t>E. 6.1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w:t>
      </w:r>
    </w:p>
    <w:p>
      <w:r>
        <w:t>- 13 -</w:t>
      </w:r>
    </w:p>
    <w:p>
      <w:r>
        <w:t>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 MANN, op. cit., n° 723 s.).</w:t>
      </w:r>
    </w:p>
    <w:p>
      <w:r>
        <w:rPr>
          <w:b/>
        </w:rPr>
        <w:t>E. 6.2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6.3</w:t>
      </w:r>
    </w:p>
    <w:p>
      <w:r>
        <w:t>Certes, il se peut également que le compte litigieux n’ait pas servi à commettre des infractions pénales, ni à opérer des virements illicites ou à blanchir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w:t>
      </w:r>
    </w:p>
    <w:p>
      <w:r>
        <w:rPr>
          <w:b/>
        </w:rPr>
        <w:t>E. 6.4</w:t>
      </w:r>
    </w:p>
    <w:p>
      <w:r>
        <w:t>En l’espèce, comme évoqué plus haut, l’autorité requérante enquête sur des actes de corruption d’agents publics étrangers, escroquerie et blanchiment d’argent. A cet égard, les Etats-Unis ont expressément demandé la transmission des informations relatives au compte bancaire de la recourante auprès de la banque D. en précisant la période souhaitée ainsi que le numéro du compte (act. 9.1, p. 11). En effet, les autorités américaines ont constaté que B., respectivement des sociétés lui étant liées, aurait transféré d’importantes sommes d’argent sur le compte dont elles demandent la documentation bancaire. De toute évidence, ces documents permettraient de tracer la source et l’utilisation des fonds qui sont passés sur ce compte et</w:t>
      </w:r>
    </w:p>
    <w:p>
      <w:r>
        <w:t>- 14 -</w:t>
      </w:r>
    </w:p>
    <w:p>
      <w:r>
        <w:t>de prouver des faits révélés par l’enquête américaine. A cet égard, il sied de rappeler que lorsque la demande vise à éclaircir le cheminement de fonds d’origine délictueuse – comme c’est le cas en l’espèce – il se justifie en principe d’informer l’Etat requérant de toutes les transactions opérées au nom des entités concernées. Il n’apparaît dès lors pas disproportionné, mais au contraire, conforme au principe de l’utilité potentielle, que l’autorité requérante veuille vérifier les mouvements des fonds liés au compte n° 1 au nom de A. Inc. et qu’elle puisse identifier les éventuelles personnes impliquées dans le schéma corruptif. Par ailleurs, les pièces – dont la recourante refuse expressément la transmission à l’autorité requérante dans la mesure où elles seraient antérieures à la période indiquée dans la décision de clôture – ont uniquement trait aux documents d’ouverture du compte litigieux, ce qui n’apparait pas non plus disproportionné puisque l’autorité requérante a un intérêt évident à pouvoir vérifier qui est le titulaire du compte ou qui sont les éventuels bénéficiaires économiques. Il convient de préciser, pour le surplus, que l’autorité peut, en tous les cas, investiguer en amont et en aval du complexe de faits décrits dans la demande et de remettre des documents antérieurs ou postérieurs à l'époque des faits indiqués (arrêt du Tribunal fédéral 1A.212/2001 du 21 mars 2002 consid. 9.2.2; arrêt du Tribunal pénal fédéral RR.2017.53-54 du 2 octobre 2017 consid. 8.2 in fine). Ainsi la demande de la recourante de ne transmettre qu’un simple courrier de la banque D. attestant le fait qu’aucun transfert n’aurait été effectué au débit ou au crédit du compte de A. Inc. n’est pas suffisant, l’autorité requérante disposant d’un intérêt à pouvoir le vérifier elle-même. Il sied de rappeler que l’entraide vise non seulement à recueillir des preuves à charge mais également à décharge (v. ATF 118 Ib 547 consid. 3a; arrêt du Tribunal fédéral 1A.88/2006 du 22 juin 2006 consid. 5.3; arrêt du Tribunal pénal fédéral RR.2008.287 du 9 avril 2009 consid. 2.2.4 et la jurisprudence citée). Par ailleurs, il convient de relever que contrairement à ce que soutient la recourante, des pièces au dossier établissent d’une part qu’elle-même et l'entreprise C. avaient des relations réciproques (pièces Office USA, Annexe 76275 [1], 76275 [3], 84488 [1];, 84488 [2]) et que les deux ensemble en entretenaient également avec la société brésilienne Q. SA (pièces Office USA, Annexe 245301, 245304, 248251 [2], 248251, 248253 [2], 248253, 252739 [2], 252739 etc) laquelle a procédé à divers versements sur le compte visé par la demande d’entraide (pièces Office USA, account statements). Ces éléments suffisent pour conclure que l’autorité requérante a incontestablement un intérêt à pouvoir consulter ces pièces dans le cadre de ses investigations. Aussi, la transmission de la documentation bancaire ordonnée par l’OFJ USA n’est pas manifestement impropre à faire progresser l’enquête de l’Etat requérant. Il s’ensuit que le grief tiré du principe de la proportionnalité n’est pas fondé et doit être rejeté.</w:t>
      </w:r>
    </w:p>
    <w:p>
      <w:r>
        <w:t>- 15 -</w:t>
      </w:r>
    </w:p>
    <w:p>
      <w:r>
        <w:rPr>
          <w:b/>
        </w:rPr>
        <w:t>E. 7</w:t>
      </w:r>
    </w:p>
    <w:p>
      <w:r>
        <w:t>Au vu de ce qui précède, le recours est rejeté.</w:t>
      </w:r>
    </w:p>
    <w:p>
      <w:r>
        <w:rPr>
          <w:b/>
        </w:rPr>
        <w:t>E. 8</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Ces derniers seront cependant réduits compte tenu du manquement lié au droit d'être entendue de la recourante. L'émolument sera ainsi fixé à CHF 4’000.-- (art. 73 al. 2 LOAP et art. 8 al. 3 du règlement du Tribunal pénal fédéral sur les frais, émoluments, dépens, et indemnités de la procédure pénale fédérale du 31 août 2010 [RFPPF; RS 173.713.162] et art. 63 al. 5 PA), entièrement couvert par l'avance de frais de CHF 5’000.-- déjà versée. La caisse du Tribunal pénal fédéral restituera à la recourante le solde par CHF 1000.--.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