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RR.2019.319 vom 4. Mai 2020</w:t>
      </w:r>
    </w:p>
    <w:p>
      <w:r>
        <w:t>Bundesstrafgericht, 2020-05-04, IT</w:t>
      </w:r>
    </w:p>
    <w:p>
      <w:r>
        <w:rPr>
          <w:b/>
        </w:rPr>
        <w:t xml:space="preserve">Quelle: </w:t>
      </w:r>
      <w:r>
        <w:t>https://mcp.opencaselaw.ch/entscheid/bstger_RR.2019.319</w:t>
      </w:r>
    </w:p>
    <w:p>
      <w:r>
        <w:t>FR: TPF RR.2019.319 du 4 mai 2020</w:t>
      </w:r>
    </w:p>
    <w:p>
      <w:r>
        <w:t>IT: TPF RR.2019.319 del 4 maggio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il ricorrente è legittimato a ricorrere (v. art. 9a lett. a OAIMP nonché DTF 137 IV 134 consid.</w:t>
      </w:r>
    </w:p>
    <w:p>
      <w:r>
        <w:t>- 5 -</w:t>
      </w:r>
    </w:p>
    <w:p>
      <w:r>
        <w:t>5.2.1; 130 II 162 consid. 1.1; 128 II 211 consid. 2.3; TPF 2007 79 consid. 1.6 pag. 82).</w:t>
      </w:r>
    </w:p>
    <w:p>
      <w:r>
        <w:rPr>
          <w:b/>
        </w:rPr>
        <w:t>E. 2</w:t>
      </w:r>
    </w:p>
    <w:p>
      <w:r>
        <w:t>Il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B. o contro una società del gruppo C. o del gruppo E.</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B., che ha concluso un accordo di collaborazione con le autorità giudi- ziarie brasiliane, né contro qualsiasi società del gruppo C. né del gruppo E. le informazioni che sarebbero state trasmesse dal Brasile (v. atto 18-02-1313 e segg. incarto MPC). In data 30 agosto 2019 l’UFG ha risposto alle autorità bra- 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B., ma non per società del gruppo C. o del gruppo E.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w:t>
      </w:r>
    </w:p>
    <w:p>
      <w:r>
        <w:t>- 6 -</w:t>
      </w:r>
    </w:p>
    <w:p>
      <w:r>
        <w:t>di procedure e non vi sono ragioni per porvi fine (v. act. 22, pag. 2). Per quanto concerne invece il ritiro della rogatoria da parte del MPC (v. act. 21.1), ciò è la conseguenza logica dell’abbandono del procedimento svizzero nei confronti di A., decisione intervenuta il 6 dicembre 2019 sulla base degli art. 319 cpv. 1 lett. a ed e CPP in combinazione con l’art. 8 cpv. 3 CPP (v. act. 21, pag. 2). Il fatto che tra il 30 agosto e il 6 dicembre 2019 le autorità brasiliane non abbiano più contattato quelle svizzere non permette di certo di concludere, come sostenuto dal ricorrente (v. act. 26, pag. 2 e seg.), che vi sia un’interruzione delle relazioni tra i due Paesi.</w:t>
      </w:r>
    </w:p>
    <w:p>
      <w:r>
        <w:rPr>
          <w:b/>
        </w:rPr>
        <w:t>E. 3</w:t>
      </w:r>
    </w:p>
    <w:p>
      <w:r>
        <w:t>Il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il ricorrente ha invocato la violazione dell’art. 1a AIMP dinanzi a questa Corte e non al Dipartimento federale di giustizia e polizia, come previsto dall’art. 17 cpv. 1 AIMP, le censure sono inammissibili. Si rileva del resto, a titolo abbondanziale, che, avendo l’insorgente il suo domicilio all’estero, le censure presentate sarebbero da disattendere anche per tale mo- tivo. Visto quanto precede, la richiesta di sospensione nonché di acquisizione dei documenti che, a mente della ricorrente, avrebbero indotto il giudice brasi- liano a negare l’autorizzazione al sequestro (v. act. 1, pag. 49), vanno parimenti disattese.</w:t>
      </w:r>
    </w:p>
    <w:p>
      <w:r>
        <w:t>- 7 -</w:t>
      </w:r>
    </w:p>
    <w:p>
      <w:r>
        <w:rPr>
          <w:b/>
        </w:rPr>
        <w:t>E. 4</w:t>
      </w:r>
    </w:p>
    <w:p>
      <w:r>
        <w:t>L’insorgente afferma che le autorità giudiziarie brasiliane non sarebbero com- petenti per perseguire i fatti oggetto della rogatoria. Egli afferma di non aver mai vissuto in Brasile, Paese in cui non avrebbe mai svolto attività professionali. Nulla permetterebbe di chiarire i motivi per i quali le autorità brasiliane rivendi- 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gruppo C. e Petrobras (v. supra Fatti lett. A). A. è sospettato di aver funto da intermediario per il gruppo C. nell’ambito dell’attività corruttiva e di riciclaggio attualmente oggetto di indagini all’estero. La giurisdizione brasiliana è da ritenersi quindi data alla luce dei criteri riconosciuti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 walt in transnationalen Fallgestaltungen, in Jurisdiktionskonflikte bei grenzüber- schreitender Kriminalität, 2012, pag. 21 e segg.). Essa non appare in ogni caso arbitraria, per cui le relative censure del ricorrente non meritano ulteriore disa- mina.</w:t>
      </w:r>
    </w:p>
    <w:p>
      <w:r>
        <w:rPr>
          <w:b/>
        </w:rPr>
        <w:t>E. 5</w:t>
      </w:r>
    </w:p>
    <w:p>
      <w:r>
        <w:t>Il ricorrente sostiene che l’autorità rogante ha formulato la sua domanda di as- sistenza esclusivamente sulla base del contenuto della trasmissione spontanea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w:t>
      </w:r>
    </w:p>
    <w:p>
      <w:r>
        <w:t>- 8 -</w:t>
      </w:r>
    </w:p>
    <w:p>
      <w:r>
        <w:t>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A. e B.) e giuridiche coinvolte nelle indagini estere (v. atto 18-02-0001 e segg. incarto MPC). Per ogni rela- 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rilevanti per le indagini estere, come ad esempio gli accrediti effettuati sui conti di A. provenienti da società del gruppo C. o gli addebiti sui conti di A. a favore di B. Trattasi di informazioni che sono state utili alle autorità brasiliane per presentare la loro domanda di assi- stenza e non di mezzi di prova. Le informazioni sui flussi di denaro sono servite all’autorità rogante per identificare i conti toccati da operazioni sospette e di cui sono stati chiesti l’edizione della documentazione e il blocco dei saldi. Il MPC</w:t>
      </w:r>
    </w:p>
    <w:p>
      <w:r>
        <w:t>- 9 -</w:t>
      </w:r>
    </w:p>
    <w:p>
      <w:r>
        <w:t>ha reso attente le autorità brasiliane che le informazioni trasmesse “non pos- sono essere utilizzate quale mezzo di prova in Brasile e che, precisamente, esse possono solo essere utilizzate dall’autorità di perseguimento penale desti- nataria al fine di permettere a questa di svolgere indagini così da consentirle di indirizzare all’autorità mittente una domanda di assistenza giudiziaria interna- zionale” (v. atto 18-02-0006 incarto MPC). La presentazione da parte dell’auto- rità rogante di tali informazioni al giudice brasiliano al fine di ottenere un’auto- rizzazione al sequestro dei conti in Svizzera rientra appunto in tale attività d’in- dagine, modo di procedere che ha poi permesso di inoltrare la domanda di as- sistenza. La giurisprudenza del Tribunale federale indicata dal ricorrente in sede di replica (v. DTF 129 II 544 consid. 3.4) nulla muta a quanto precede, nella misura in cui in quel caso la tabella con le informazioni bancarie, che per l’au- torità rogante costituiva un mezzo di prova, era stata allestita dall’autorità rogata in esecuzione di una domanda di assistenza e per questo avrebbe dovuto es- sere oggetto di una decisione di chiusura. In definitiva, essendo la contestata trasmissione spontanea d’informazioni avvenuta nel rispetto delle condizioni le- 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“Lavo Jato”, come quelle raccolte sulla base delle dichia- razioni fornite da B.,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il ricorrente, essendo stato abbandonato il procedimento in Svizzera contro di lui, ciò che corrisponderebbe ad una sua assoluzione,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w:t>
      </w:r>
    </w:p>
    <w:p>
      <w:r>
        <w:t>- 10 -</w:t>
      </w:r>
    </w:p>
    <w:p>
      <w:r>
        <w:t>dello Stato richiedente in tutto o in parte, salvo che, in quest’ultimo caso, gli 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A. sulla base degli art. 319 cpv. 1 lett. a ed e CPP in combinazione con l’art. 8 cpv. 3 CPP. A sostegno di tale decisione, l’autorità inquirente ha affer- mato che “non è stato possibile individuare degli elementi probatori atti e idonei a confutare le argomentazioni espresse da A.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w:t>
      </w:r>
    </w:p>
    <w:p>
      <w:r>
        <w:t>- 11 -</w:t>
      </w:r>
    </w:p>
    <w:p>
      <w:r>
        <w:t>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A.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w:t>
      </w:r>
    </w:p>
    <w:p>
      <w:r>
        <w:t>- 12 -</w:t>
      </w:r>
    </w:p>
    <w:p>
      <w:r>
        <w:t>del 5 ottobre 2016 consid. 2.2; 1C_79/2014 del 14 febbraio 2014 consid. 2.3; ZIMMERMANN, op. cit., n. 681).</w:t>
      </w:r>
    </w:p>
    <w:p>
      <w:r>
        <w:rPr>
          <w:b/>
        </w:rPr>
        <w:t>E. 7.2</w:t>
      </w:r>
    </w:p>
    <w:p>
      <w:r>
        <w:t>In concreto, dagli atti risulta che il ricorrente, cittadino venezuelano e imputato nel procedimento brasiliano, risiede attualmente a Panama (v. act. 1, pag. 1). Egli ha dichiarato di non vivere e di non aver mai vissuto in Brasile (v. act. 1, pag. 54), Paese in cui non sembra nemmeno volersi recare. Egli non afferma che vi sarebbe una domanda di estradizione brasiliana pendente nei suoi con- fronti o che in qualche modo rischierebbe di ritrovarsi contro il suo volere a di- sposizione delle autorità brasiliane. La sua residenza fuori dal Brasile lo pone quindi al sicuro – almeno attualmente – rispetto a eventuali violazioni di diritti dell’uomo da lui temute (v. DTF 125 II 356 consid. 8). Già solo per queste ra- gioni, la censura non meriterebbe ulteriore disamina. Si rileva comunque, a ti- tolo abbondanziale, che il ricorrente non ha neppure dimostrato l’esistenza di gravi deficienze processuali ai sensi dell’art. 2 AIMP e della suddetta giurispru- denza. Il fatto che le autorità brasiliane avrebbero presentato le loro richieste di sequestro alle autorità svizzere senza disporre di un’autorizzazione del giudice brasiliano – situazione che è stata peraltro corretta mediante lo sblocco dei va- lori patrimoniali riconducibili al ricorrente – non costituisce una grave deficienza. Vaghe risultano inoltre le accuse riguardanti “episodi, provati dai media e mai smentiti dall’apparato giudiziario brasiliano ovvero dai magistrati direttamente interessati, di «inquinamento ambientale» e di abuso della propria funzione per fini estranei al perseguimento del fine di giustizia” (v. act. 1, pag. 64). Gli atti dell’incarto non permettono di dimostrare l’esistenza di violazioni concrete nei confronti del ricorrente. Critiche generali al sistema giudiziario brasiliano o le- gate a singoli episodi riportati dalla stampa che non toccano direttamente il pre- detto e la sua procedura non sono sufficienti per rifiutare l’assistenza. Per quanto riguarda l’asserito rifiuto d’accesso agli atti del procedimento brasiliano, questa Corte non dispone di elementi per giudicarne la fondatezza, ma è anche possibile che questo possa essere stata legato ad esigenze istruttorie. È in ogni caso compito del difensore brasiliano del ricorrente adire il giudice brasiliano per far valere un’eventuale violazione del diritto di essere sentito. Infine, che informazioni bancarie concernenti l’insorgente e altre persone toccate dalla ro- gatoria siano apparse nei media non può essere automaticamente imputato all’agire degli inquirenti brasiliani. Non vi sono in ogni caso elementi nell’incarto che dimostrano quanto asserito dal ricorrente a tal proposito. In conclusione, le censure in questo ambito non sono in alcun modo sostanziate e vanno integral- mente disattese.</w:t>
      </w:r>
    </w:p>
    <w:p>
      <w:r>
        <w:rPr>
          <w:b/>
        </w:rPr>
        <w:t>E. 8</w:t>
      </w:r>
    </w:p>
    <w:p>
      <w:r>
        <w:t>Infine, il ricorrente sostiene che la decisione impugnata violerebbe il principio della proporzionalità, nella misura in cui il MPC avrebbe ordinato la trasmissione di documentazione bancaria riguardante il periodo susseguente il 2015, quando</w:t>
      </w:r>
    </w:p>
    <w:p>
      <w:r>
        <w:t>- 13 -</w:t>
      </w:r>
    </w:p>
    <w:p>
      <w:r>
        <w:t>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 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potenziale, se- 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w:t>
      </w:r>
    </w:p>
    <w:p>
      <w:r>
        <w:t>- 14 -</w:t>
      </w:r>
    </w:p>
    <w:p>
      <w:r>
        <w:t>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8.2</w:t>
      </w:r>
    </w:p>
    <w:p>
      <w:r>
        <w:t>In concreto, l’utilità potenziale della documentazione litigiosa è certamente data, già solo per il fatto che A.,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svariate operazioni, accrediti e addebiti di somme molto importanti, avvenute sul conto litigioso del ricorrente che tracciano dei legami con società riconducibili al gruppo C. e altre entità coinvolte nelle indagini estere (v. act. 1.0, doc. 2, pag. 8).</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