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RR.2019.316 vom 28. April 2020</w:t>
      </w:r>
    </w:p>
    <w:p>
      <w:r>
        <w:t>Bundesstrafgericht, 2020-04-28, IT</w:t>
      </w:r>
    </w:p>
    <w:p>
      <w:r>
        <w:rPr>
          <w:b/>
        </w:rPr>
        <w:t xml:space="preserve">Quelle: </w:t>
      </w:r>
      <w:r>
        <w:t>https://mcp.opencaselaw.ch/entscheid/bstger_RR.2019.316</w:t>
      </w:r>
    </w:p>
    <w:p>
      <w:r>
        <w:t>FR: TPF RR.2019.316 du 28 avril 2020</w:t>
      </w:r>
    </w:p>
    <w:p>
      <w:r>
        <w:t>IT: TPF RR.2019.316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innanzitutto che le relazioni di assistenza tra Svizzera e Brasile sarebbero da considerare interrotte a causa dell’assenza di reciprocità</w:t>
      </w:r>
    </w:p>
    <w:p>
      <w:r>
        <w:t>- 5 -</w:t>
      </w:r>
    </w:p>
    <w:p>
      <w:r>
        <w:t>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 lett. a ed e CPP in combinazione con l’art. 8 cpv. 3 CPP (v. act. 21, pag. 2). Il fatto che tra il 30 agosto e il 6 dicembre 2019 le autorità brasiliane non abbiano</w:t>
      </w:r>
    </w:p>
    <w:p>
      <w:r>
        <w:t>- 6 -</w:t>
      </w:r>
    </w:p>
    <w:p>
      <w:r>
        <w:t>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49), vanno parimenti disattese.</w:t>
      </w:r>
    </w:p>
    <w:p>
      <w:r>
        <w:rPr>
          <w:b/>
        </w:rPr>
        <w:t>E. 4</w:t>
      </w:r>
    </w:p>
    <w:p>
      <w:r>
        <w:t>L’insorgente afferma che le autorità giudiziarie brasiliane non sarebbero com- petenti per perseguire i fatti oggetto della rogatoria. Essa sostiene che B. non avrebbe mai vissuto in Brasile, Paese in cui non avrebbe mai svolto attività pro-</w:t>
      </w:r>
    </w:p>
    <w:p>
      <w:r>
        <w:t>- 7 -</w:t>
      </w:r>
    </w:p>
    <w:p>
      <w:r>
        <w:t>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il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MARAUHN/SIMON, Die völkerrechtlichen Voraussetzungen der Strafgewalt in transnationalen Fallgestaltungen, in Jurisdiktionskonflikte bei grenzüberschrei- tender Kriminalität, 2012, pag. 21 e segg.). Essa non appare in ogni caso arbi- traria, per cui le relative censure della ricorrente non meritano ulteriore disa- 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w:t>
      </w:r>
    </w:p>
    <w:p>
      <w:r>
        <w:t>- 8 -</w:t>
      </w:r>
    </w:p>
    <w:p>
      <w:r>
        <w:t>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 il blocco dei saldi. Il MPC ha reso attente le autorità brasiliane che le informa- zioni trasmesse “non possono essere utilizzate quale mezzo di prova in Brasile</w:t>
      </w:r>
    </w:p>
    <w:p>
      <w:r>
        <w:t>- 9 -</w:t>
      </w:r>
    </w:p>
    <w:p>
      <w:r>
        <w:t>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 dello Stato richiedente in tutto o in parte, salvo che, in quest’ultimo caso, gli stessi siano stati commessi in parte anche nel territorio dello Stato richiesto</w:t>
      </w:r>
    </w:p>
    <w:p>
      <w:r>
        <w:t>- 10 -</w:t>
      </w:r>
    </w:p>
    <w:p>
      <w:r>
        <w:t>(lett.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10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 MPC non può avere nessuna ripercussione a livello di ne bis in idem. La relativa censura va quindi respinta.</w:t>
      </w:r>
    </w:p>
    <w:p>
      <w:r>
        <w:t>- 11 -</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t>- 12 -</w:t>
      </w:r>
    </w:p>
    <w:p>
      <w:r>
        <w:rPr>
          <w:b/>
        </w:rPr>
        <w:t>E. 7.2</w:t>
      </w:r>
    </w:p>
    <w:p>
      <w:r>
        <w:t>Essendo la ricorrente una persona giuridica con sede alle Isole Cayman e non essendo essa stessa oggetto della procedura penale in Brasile, la relativa cen- 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 ziale, secondo cui la consegna giusta l'art. 74 AIMP è esclusa soltanto per quei</w:t>
      </w:r>
    </w:p>
    <w:p>
      <w:r>
        <w:t>- 13 -</w:t>
      </w:r>
    </w:p>
    <w:p>
      <w:r>
        <w:t>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svariate operazioni, accrediti e addebiti di somme molto importanti, avvenute sul conto litigioso della ricor- rente che tracciano dei legami con società riconducibili al gruppo D. e altre en- tità coinvolte nelle indagini estere (v. act. 1.0, doc. 2, pag. 8).</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9</w:t>
      </w:r>
    </w:p>
    <w:p>
      <w:r>
        <w:t>In definitiva, la decisione impugnata va confermata e il gravame integralmente respinto, nella misura della sua ammissibilità.</w:t>
      </w:r>
    </w:p>
    <w:p>
      <w:r>
        <w:t>- 14 -</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