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RR.2019.310 vom 20. Februar 2020</w:t>
      </w:r>
    </w:p>
    <w:p>
      <w:r>
        <w:t>Bundesstrafgericht, 2020-02-20, DE</w:t>
      </w:r>
    </w:p>
    <w:p>
      <w:r>
        <w:rPr>
          <w:b/>
        </w:rPr>
        <w:t xml:space="preserve">Quelle: </w:t>
      </w:r>
      <w:r>
        <w:t>https://mcp.opencaselaw.ch/entscheid/bstger_RR.2019.310</w:t>
      </w:r>
    </w:p>
    <w:p>
      <w:r>
        <w:t>FR: TPF RR.2019.310 du 20 février 2020</w:t>
      </w:r>
    </w:p>
    <w:p>
      <w:r>
        <w:t>IT: TPF RR.2019.310 del 20 febbraio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t>- 4 -</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ist die Beschwerdeführerin beschwerdebefugt. Somit ist auf die im Übrigen form- und fristgerecht erhobene Beschwerde einzutreten.</w:t>
      </w:r>
    </w:p>
    <w:p>
      <w:r>
        <w:t>- 5 -</w:t>
      </w:r>
    </w:p>
    <w:p>
      <w:r>
        <w:rPr>
          <w:b/>
        </w:rPr>
        <w:t>E. 4.1</w:t>
      </w:r>
    </w:p>
    <w:p>
      <w:r>
        <w:t>Die Beschwerdeführerin bringt vor, das Ersuchen enthalte widersprüchliche Angaben (act. 1, S. 2 ff.).</w:t>
      </w:r>
    </w:p>
    <w:p>
      <w:r>
        <w:rPr>
          <w:b/>
        </w:rPr>
        <w:t>E. 4.2</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Im brasilianischen Rechtshilfeersuchen vom 30. Mai 2018 wird im Wesentli- chen Folgendes ausgeführt:</w:t>
      </w:r>
    </w:p>
    <w:p>
      <w:r>
        <w:t>- 6 -</w:t>
      </w:r>
    </w:p>
    <w:p>
      <w:r>
        <w:t>Es bestünden Hinweise, dass B. und C., beide Gesellschafter der Schiffbro- kergesellschaft F. Ltda., sowie D., Gesellschafter der G. Ltda., Bestechungs- gelder an H., den ehemaligen Direktor des Schiffcharterbereichs der O. SA, gezahlt hätten. Gegen H. werde bereits wegen des Verdachts der Korruption und Geldwäscherei im Zusammenhang mit Schiffcharterverträgen ermittelt. Die F. Ltda. sei im Zeitraum von 2005 bis 2013 für mindestens 110 Schiff- charterverträge der O. SA im Umfang von R$ 350 Mio. verantwortlich gewe- sen. Im Jahr 2014 habe die F. Ltda. unter Beteiligung von H. einen weiteren grossen Vertrag geschlossen, der eine Erneuerungsmöglichkeit bis 2034 vorgesehen habe. D. habe als Vertreter der G. Ltda. von 2005 bis 2012 min- destens 82 Schiffcharterverträge im Umfang von mehr als R$ 240 Mio. ver- handelt. Zwischen dem 26. Mai 2010 und dem 14. Januar 2014 hätten I. und J. Bestechungsgelder von mindestens USD 237‘478.49 auf ausländische Bankkonten überwiesen, die auf H. oder auf die von ihm beherrschte Off- shore-Gesellschaft K. Ltd. lauteten. Weiter habe festgestellt werden können, dass B. und C. die O. SA zwischen Januar 2010 und Januar 2015 mindes- tens 31 Mal besucht hätten. Es gäbe Beweise, dass H. mit durch die F. Ltda. vermittelten Verträgen einerseits zwischen der O. SA und der L. SA und an- dererseits zwischen der O. SA und der M. Ltd. Bestechungsgelder angenom- men haben soll. Es seien Hinweise vorhanden, dass die L. SA in mindestens sechs Verträgen mit der O. SA bevorzugt worden sei, die zwischen 19. Juli 2010 und 1. April 2013 im Umfang von USD 45 Mio. abgeschlossen worden seien, die unberechtigte Zahlungen an H. zur Folge gehabt hätten. Weiter wird im Ersuchen ausgeführt, dass H. auch nach seinem Rücktritt bei der O. SA Bestechungsgelder erhalten habe. Namentlich habe er nach seinem Rücktritt die Gesellschaft N. gegründet. Die brasilianischen Ermittlungen hät- ten ergeben, dass auf das Konto der Gesellschaft N. zwischen dem 12. No- vember 2015 und dem 10. Mai 2017 von der F. Ltda. 25 Zahlungen in Höhe von total R$ 821‘187.50 eingegangen seien. Aus den Steuererklärungen von B. und C. gehe unter anderem hervor, dass sie im Ausland über nicht dekla- rierte Vermögenswerte verfügt hätten. Zudem gehe daraus hervor, dass B. als wirtschaftlich Berechtigter am Konto Nr. 1 bei der Bank E. eingetragen sei, welches auf die Beschwerdeführerin laute.</w:t>
      </w:r>
    </w:p>
    <w:p>
      <w:r>
        <w:rPr>
          <w:b/>
        </w:rPr>
        <w:t>E. 4.4</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diverser natürlicher und juristischer Personen die Korrup- tionshandlungen stattgefunden haben sollen. Ebenso sind im Ersuchen keine widersprüchlichen Angaben zu erkennen. Da die Ermittlungen gegen die Beschuldigten noch nicht abgeschlossen sind und für sie deshalb die</w:t>
      </w:r>
    </w:p>
    <w:p>
      <w:r>
        <w:t>- 7 -</w:t>
      </w:r>
    </w:p>
    <w:p>
      <w:r>
        <w:t>Unschuldsvermutung gilt, spricht das Ersuchen trotz der bisher erlangten Be- weismittel richtigerweise lediglich von möglichen Bestechungs- und Geldwä- schereihandlungen und Indizien, die darauf hinweisen. Das Vorbringen ist nach dem Gesagten unbegründet. Entsprechend ist der im Ersuchen darge- stellte Sachverhalt für den Rechtshilferichter bindend und den nachfolgen- den Erwägungen zugrunde zu legen.</w:t>
      </w:r>
    </w:p>
    <w:p>
      <w:r>
        <w:rPr>
          <w:b/>
        </w:rPr>
        <w:t>E. 5.1</w:t>
      </w:r>
    </w:p>
    <w:p>
      <w:r>
        <w:t>Die Beschwerdeführerin rügt weiter eine Verletzung von Art. 2 IRSG (act. 1, S. 3, 9 f.).</w:t>
      </w:r>
    </w:p>
    <w:p>
      <w:r>
        <w:rPr>
          <w:b/>
        </w:rPr>
        <w:t>E. 5.2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5.3</w:t>
      </w:r>
    </w:p>
    <w:p>
      <w:r>
        <w:t>Die Beschwerdeführerin ist eine juristische Person und hat ihren Gesell- schaftssitz auf den Bahamas. Sie selbst ist im brasilianischen Strafverfahren nicht beschuldigt. Aus diesem Grund kann sich die Beschwerdeführerin nicht auf Art. 2 IRSG berufen und die diesbezügliche Rüge ist nicht zu hören.</w:t>
      </w:r>
    </w:p>
    <w:p>
      <w:r>
        <w:t>- 8 -</w:t>
      </w:r>
    </w:p>
    <w:p>
      <w:r>
        <w:rPr>
          <w:b/>
        </w:rPr>
        <w:t>E. 6.1</w:t>
      </w:r>
    </w:p>
    <w:p>
      <w:r>
        <w:t>Schliesslich rügt die Beschwerdeführerin eine Verletzung des Verhältnis- mässigkeitsgrundsatzes und bestreitet den Nutzen der Bankunterlagen für die ersuchende Behörde (act. 1, S. 3, 10 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- 9 -</w:t>
      </w:r>
    </w:p>
    <w:p>
      <w:r>
        <w:rPr>
          <w:b/>
        </w:rPr>
        <w:t>E. 6.3</w:t>
      </w:r>
    </w:p>
    <w:p>
      <w:r>
        <w:t>Die Beschwerdeführerin zeigt nicht konkret auf, welche in der Schlussverfü- gung bezeichneten Bankunterlagen nicht an die ersuchende Behörde her- auszugeben sind. Sie beschränkt ihre Ausführungen auf die Bestreitung ei- nes Zusammenhangs zwischen dem hier gegenständlichen Konto und dem brasilianischen Strafverfahren. Diese lediglich allgemein gehaltenen Ausfüh- rungen genügen den Begründungsanforderungen nicht, weshalb das Vor- bringen bereits aus diesem Grund abzuweisen ist.</w:t>
      </w:r>
    </w:p>
    <w:p>
      <w:r>
        <w:rPr>
          <w:b/>
        </w:rPr>
        <w:t>E. 6.4</w:t>
      </w:r>
    </w:p>
    <w:p>
      <w:r>
        <w:t>Im Übrigen wäre das Vorbringen auch inhaltlich unbegründet. Gemäss den für den Rechtshilferichter verbindlichen Ausführungen im Ersuchen besteht der Verdacht, dass H. von B. und C. Bestechungsgelder erhalten haben könnte, damit die von den Letzteren vermittelten Gesellschaften (wie bspw. die L. SA) bei der Vergabe durch die O. SA bevorzugt wurden. Es ist somit nicht auszuschliessen, dass vom hier gegenständlichen Bankkonto der Be- schwerdeführerin Transaktionen zugunsten von H. oder der ihm zurechen- baren (Offshore-)Gesellschaften erfolgt sein können, zumal B. an diesem als wirtschaftlich berechtigte Person eingetragen ist. Entgegen der Ansicht der Beschwerdeführerin wird das auf sie lautende Konto im Ersuchen ausdrück- lich erwähnt (Verfahrensakten, unpaginiert, Rechtshilfeersuchen vom 30. Mai 2018, S. 5).</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 zu ermitteln. Ob das vorliegende Rechtshilfeersuchen ausschliesslich auf Informationen aus einer fiskalischen Amnestie beruht und die gestützt darauf erhaltenen Unterlagen wegen des Verstosses gegen brasilianisches Recht unverwertbar sind, wird der ausländische Sachrichter zu beurteilen haben. Das diesbezügliche Vorbringen der Beschwerdeführerin stösst ins Leere. Dasselbe gilt sinngemäss in Bezug auf die Ausführungen der Be- schwerdeführerin betreffend die allfällige Strafbarkeit der beschuldigten Per- sonen sowie die Nutzung des hier gegenständlichen Kontos für allfällige de- liktische Zwecke. Die Prüfung der Tat- und Schuldfrage obliegt nicht dem Schweizer Rechtshilferichter (s. E. 4.2 hiervor).</w:t>
      </w:r>
    </w:p>
    <w:p>
      <w:r>
        <w:rPr>
          <w:b/>
        </w:rPr>
        <w:t>E. 6.5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entgegenstehen wür- den, werden weder geltend gemacht noch sind solche ersichtlich.</w:t>
      </w:r>
    </w:p>
    <w:p>
      <w:r>
        <w:t>- 10 -</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