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RR.2019.294 vom 6. März 2020</w:t>
      </w:r>
    </w:p>
    <w:p>
      <w:r>
        <w:t>Bundesstrafgericht, 2020-03-06, DE</w:t>
      </w:r>
    </w:p>
    <w:p>
      <w:r>
        <w:rPr>
          <w:b/>
        </w:rPr>
        <w:t xml:space="preserve">Quelle: </w:t>
      </w:r>
      <w:r>
        <w:t>https://mcp.opencaselaw.ch/entscheid/bstger_RR.2019.294</w:t>
      </w:r>
    </w:p>
    <w:p>
      <w:r>
        <w:t>FR: TPF RR.2019.294 du 6 mars 2020</w:t>
      </w:r>
    </w:p>
    <w:p>
      <w:r>
        <w:t>IT: TPF RR.2019.294 del 6 marzo 2020</w:t>
      </w:r>
    </w:p>
    <w:p>
      <w:pPr>
        <w:pStyle w:val="Heading2"/>
      </w:pPr>
      <w:r>
        <w:t>Regeste</w:t>
      </w:r>
    </w:p>
    <w:p>
      <w:r>
        <w:t>Internationale Rechtshilfe in Strafsachen an Panama. Herausgabe von Beweismitteln (Art. 74 IRSG).</w:t>
      </w:r>
    </w:p>
    <w:p>
      <w:pPr>
        <w:pStyle w:val="Heading2"/>
      </w:pPr>
      <w:r>
        <w:t>Erwägungen</w:t>
      </w:r>
    </w:p>
    <w:p>
      <w:r>
        <w:rPr>
          <w:b/>
        </w:rPr>
        <w:t>E. 1.1</w:t>
      </w:r>
    </w:p>
    <w:p>
      <w:r>
        <w:t>Für die Rechtshilfe zwischen der Schweiz und Panama finden die Art. 43 ff. des Übereinkommens vom 31. Oktober 2003 der Vereinten Nationen gegen Korruption (UNCAC; SR 0.311.56) Anwendung, soweit das Rechtshilfeersu- chen in dessen Geltungsbereich fällt.</w:t>
      </w:r>
    </w:p>
    <w:p>
      <w:r>
        <w:t>- 6 -</w:t>
      </w:r>
    </w:p>
    <w:p>
      <w:r>
        <w:rPr>
          <w:b/>
        </w:rPr>
        <w:t>E. 1.2</w:t>
      </w:r>
    </w:p>
    <w:p>
      <w:r>
        <w:t>Sodann gelangen das Bundesgesetz vom 20. März 1981 (Rechtshilfegesetz, IRSG; SR 351.1) und die Verordnung vom 24. Februar 1982 über interna- 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 rung der Menschenrechte (BGE 135 IV 212 E. 2.3; 123 II 595 E. 7c S. 617; TPF 2016 65 E. 1.2). Auf Beschwerdeverfahren in internationalen Rechtshil- feangelegenheiten sind zudem die Bestimmungen des Bundesgesetzes vom 20. Dezember 1968 über das Verwaltungsverfahren (Verwaltungsverfah- rensgesetz, VwVG; SR 172.021) anwendbar (Art. 39 Abs. 2 lit. b i.V.m. Art. 37 Abs. 2 lit. a Ziff. 1 StBOG), wenn das IRSG nichts anderes bestimmt (siehe Art. 12 Abs. 1 IRSG).</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 mationen an den ersuchenden Staat der jeweilige Kontoinhaber angesehen (Art. 9a lit. a IRSV).</w:t>
      </w:r>
    </w:p>
    <w:p>
      <w:r>
        <w:rPr>
          <w:b/>
        </w:rPr>
        <w:t>E. 2.2</w:t>
      </w:r>
    </w:p>
    <w:p>
      <w:r>
        <w:t>Vorliegend führt die Kontoinhaberin Beschwerde gegen die Schlussverfü- gung. Auf die im Übrigen form- und fristgerecht eingereichte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- 7 -</w:t>
      </w:r>
    </w:p>
    <w:p>
      <w:r>
        <w:rPr>
          <w:b/>
        </w:rPr>
        <w:t>E. 4.1</w:t>
      </w:r>
    </w:p>
    <w:p>
      <w:r>
        <w:t>Die Beschwerdeführerin macht in einem ersten Punkt eine Verletzung des rechtlichen Gehörs geltend. Sie habe keine Möglichkeit gehabt, sich vor Er- lass der Schlussverfügung vom 1. Oktober 2019 zur beabsichtigten Heraus- gabe der Bankunterlagen zu äussern. Die Eintretens- und Zwischenverfü- gungen vom 22. August 2019 und die Schlussverfügung vom 1. Okto- ber 2019 seien einzig der Bank zugestellt worden. Die Schlussverfügung sei zudem kurz nach den Eintretens- und Zwischenverfügungen erlassen wor- den, sodass die Beschwerdeführerin nicht genügend Zeit gehabt habe, um eine Zustelladresse in der Schweiz zu bezeichnen (act. 1 S. 6 ff.; act. 18 S. 1 f.).</w:t>
      </w:r>
    </w:p>
    <w:p>
      <w:r>
        <w:rPr>
          <w:b/>
        </w:rPr>
        <w:t>E. 4.2</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(ZIMMERMANN, La coopération judiciaire internationale en matière pénale, 5. Aufl. 2019, N. 472). Bezieht sich das Rechtshilfeersuchen auf die Herausgabe von Bankunterlagen oder anderen Beweismitteln, muss die ausführende Behörde dem gemäss Art. 80h lit. b IRSG und Art. 9a IRSV Berechtigten vorgängig an den Erlass der Schluss- verfügung insbesondere die Gelegenheit geben, sich zum Rechtshilfeersu- chen zu äussern und unter Angabe der Gründe geltend zu machen, welche Unterlagen etwa in Anwendung des Verhältnismässigkeitsprinzips nicht her- auszugeben sind (vgl. Art. 30 Abs. 1 VwVG; BGE 130 II 14 E. 4.3; 126 II 258 E. 9b/aa).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Inland haben (Art. 80m Abs. 1 IRSG). Art. 9 IRSV präzisiert, dass eine Partei oder ihr Rechtsbeistand, die im Aus- land wohnen, ein Zustellungsdomizil in der Schweiz bezeichnen müssen; un- terlassen sie dies, kann die Zustellung unterbleiben. In diesem Fall wird die Verfügung – zumindest in Verfahren, in denen es um die Übermittlung von Bankunterlagen geht – der Bank zur Kenntnis gebracht. Diese ist nach Art. 80n Abs. 1 IRSG berechtigt und aufgrund des Vertrags mit ihrem Kunden verpflichtet, diesen über das Vorliegen des Rechtshilfeersuchens und allen damit zusammenhängenden Tatsachen zu informieren, sofern die zustän- dige Behörde dies nicht ausnahmsweise unter Hinweis auf Art. 292 StGB</w:t>
      </w:r>
    </w:p>
    <w:p>
      <w:r>
        <w:t>- 8 -</w:t>
      </w:r>
    </w:p>
    <w:p>
      <w:r>
        <w:t>und dessen Strafandrohung ausdrücklich untersagt hat (vgl. BGE 136 IV 18 E. 2.2; 124 II 124 E. 2d S. 127).</w:t>
      </w:r>
    </w:p>
    <w:p>
      <w:r>
        <w:rPr>
          <w:b/>
        </w:rPr>
        <w:t>E. 4.3</w:t>
      </w:r>
    </w:p>
    <w:p>
      <w:r>
        <w:t>Die Beschwerdegegnerin war vorliegend mangels schweizerischen Sitzes der Beschwerdeführerin und mangels Zustellungsdomizil in der Schweiz be- rechtigt, die Eintretens- und Zwischenverfügungen vom 22. August 2019 so- wie die Schlussverfügung vom 1. Oktober 2019 der Bank zuzustellen. Die Beschwerdeführerin äussert sich nicht dazu, wann sie über das Rechtshil- feersuchen in Kenntnis gesetzt worden ist. Die schriftliche Vollmacht, die die Beschwerdeführerin ihrem Rechtsvertreter in der Schweiz im Hinblick auf das Rechtshilfeverfahren RH.19.0186 erteilt hat, datiert vom 17. Septem- ber 2019 (act. 1.0). Die Beschwerdeführerin hatte daher spätestens ab die- sem Zeitpunkt Kenntnis vom Rechtshilfeverfahren und mit der Mandatierung ihres Rechtsvertreters ein Zustelldomizil in der Schweiz. Dass der Vertreter der Beschwerdeführerin es versäumt hat, der ausführenden Behörde recht- zeitig, d.h. vor Erlass der Schlussverfügung vom 1. Oktober 2019, ihr Zustell- domizil in der Schweiz bekannt zu geben und in der Folge am Verfahren teilzunehmen, ist allein der Beschwerdeführerin anzulasten. Entgegen der Ansicht der Beschwerdeführerin war die Beschwerdegegnerin weder ver- pflichtet noch berechtigt, der Bank G. Gelegenheit zur Stellungnahme im Hin- blick auf die beabsichtigte Herausgabe der Bankunterlagen an den ersu- chenden Staat einzuräumen, da die Bank durch die Erhebung der Unterla- gen betreffend das Konto der Beschwerdeführerin nicht unmittelbar betroffen ist (BGE 128 II 211 E. 2.3). Sie konnte daher im Rechtshilfeverfahren nicht Beteiligte sein und war somit auch nicht beschwerdelegitimiert. Eine Verlet- zung des rechtlichen Gehörs durch die Beschwerdegegnerin ist vorliegend folglich nicht auszumachen.</w:t>
      </w:r>
    </w:p>
    <w:p>
      <w:r>
        <w:rPr>
          <w:b/>
        </w:rPr>
        <w:t>E. 5.1</w:t>
      </w:r>
    </w:p>
    <w:p>
      <w:r>
        <w:t>Die Beschwerdeführerin rügt schliesslich die Verletzung des Verhältnismäs- sigkeitsprinzips. Panama habe um Herausgabe der Bankunterlagen für den Zeitraum von 2009 bis 2014 ersucht. Die meisten von der Schlussverfügung betroffenen Bankunterlagen beträfen jedoch das Jahr 2015 (act. 1 S. 10 ff.; act. 18 S. 2 f.).</w:t>
      </w:r>
    </w:p>
    <w:p>
      <w:r>
        <w:rPr>
          <w:b/>
        </w:rPr>
        <w:t>E. 5.2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w:t>
      </w:r>
    </w:p>
    <w:p>
      <w:r>
        <w:t>- 9 -</w:t>
      </w:r>
    </w:p>
    <w:p>
      <w:r>
        <w:t>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Gemäss Sachverhalt des Rechtshilfeersuchens vom 22. April 2019 besteht der Verdacht, die Söhne des […], H., nämlich B. und C., hätten im Zeitraum von 2009 bis 2014 im Zusammenhang mit öffentlichen Ausschreibungen von Infrastrukturprojekten in Panama über diverse ihnen zuzurechnende Off- shore Gesellschaften mutmasslich Bestechungszahlungen von durch die Gruppe F. beherrschten Gesellschaften (I., J. Trust, K. Ltd., L. S.A.) entge- gengenommen. Im Gegenzug soll H. die Auftragsvergabe zu Gunsten der Gruppe F. und zum Nachteil des panamaischen Staates beeinflusst haben.</w:t>
      </w:r>
    </w:p>
    <w:p>
      <w:r>
        <w:t>- 10 -</w:t>
      </w:r>
    </w:p>
    <w:p>
      <w:r>
        <w:t>Die auf diese Weise erlangten Vermögenswerte seien dabei u.a. auf Bank- beziehung in der Schweiz transferiert und von dort weitergeleitet sowie zum Kauf von Immobilien und Luxusgütern verwendet worden. Die panamai- schen Untersuchungsbehörden seien im Zuge ihrer Ermittlungen auf eine M. Ltd. aufmerksam geworden, die D., einem engen Freund der Familie H., zugeordnet werden könne. D. sei im panamaischen Strafverfahren der Geld- wäscherei beschuldigt und soll zusammen mit den beiden Brüdern B. und C. an der Gesellschaft N. SA beteiligt gewesen sei. Hierbei handle es sich um eine Gesellschaft, über die Bestechungszahlungen u.a. im Zusammenhang mit den panamaischen Infrastrukturprojekten geflossen seien. Die M. Ltd. sei dazu benutzt worden, um bei der Bank O. ein Konto zu eröffnen, an welchem D. wirtschaftlich Berechtigter gewesen sei. Auf diese Bankverbindungen seien unter anderem Bestechungszahlungen der K. Ltd. eingegangen. Ge- mäss gegenwärtigem Ermittlungsstand in Panama seien am 28. April 2011 bzw. am 2. Dezember 2015 auf das Konto der Beschwerdeführerin bei der Bank G. Überweisungen von der Gesellschaft P. Ltd. im Umfang von ca. USD 620'000.-- bzw. von der M. Ltd. im Umfang von ca. USD 350'000.-- ein- gegangen.</w:t>
      </w:r>
    </w:p>
    <w:p>
      <w:r>
        <w:rPr>
          <w:b/>
        </w:rPr>
        <w:t>E. 5.4</w:t>
      </w:r>
    </w:p>
    <w:p>
      <w:r>
        <w:t>Die panamaischen Behörden verfügen über konkrete Hinweise, dass auf ein auf die Beschwerdeführerin lautendes Konto bei der Bank G. möglicherweise Bestechungsgelder geflossen sind. Die Schlussverfügung bezieht sich dabei exakt auf dieses Konto der Beschwerdeführerin bei der Bank G., weshalb die Unterlagen, deren Herausgabe damit verfügt werden, für das ausländische Verfahren als potentiell erheblich einzustufen sind. Die Beschwerdegegnerin hat denn auch gestützt auf die Bankunterlagen feststellen können, dass am 16. Januar 2015 bzw. am 17. Dezember 2015 von der P. Ltd. und der M. Ltd. mehr als USD 620'000.-- und USD 350'000.-- auf das Konto der Beschwer- deführerin überwiesen worden sind (vgl. auch Verfahrensakten Urk. 5.1.4.0002 und 5.1.4.0006). Dabei ist gemäss Rechtshilfeersuchen nicht auszuschliessen, dass es sich hierbei um Gelder handelt, die aus den Bestechungshandlungen herrühren. Es entspricht – wie bereits ausgeführt – sodann der Rechtsprechung, dass die Behörden des ersuchenden Staates grundsätzlich alle sichergestellten Aktenstücke zu übermitteln haben, welche sich auf den im Ersuchen dargelegten Verdacht beziehen können. Dies ge- rade dann, wenn das Rechtshilfeersuchen, wie vorliegend, auf die Ermittlung abzielt, auf welchem Weg Geldmittel mutmasslich strafbarer Herkunft ver- schoben wurden. Im diesem Zusammenhang ist darauf hinzuweisen, dass ein angeblicher Deliktszeitraum den Zeitraum der zu erhebenden Unterlagen denn auch nicht einfach einschränkt. Insbesondere können Dokumente, wel- che die Verflechtung zwischen zahlreichen Unternehmen belegen, unabhän- gig ihres Datums potentiell erheblich sein. Ebenso können Unterlagen, die</w:t>
      </w:r>
    </w:p>
    <w:p>
      <w:r>
        <w:t>- 11 -</w:t>
      </w:r>
    </w:p>
    <w:p>
      <w:r>
        <w:t>Kontobewegungen zum Inhalt haben, nach dem Deliktszeitraum für die voll- ständige Rekonstruktion der mutmasslich deliktischen Geldflüsse massge- blich sein. Für die Bejahung der potentiellen Erheblichkeit der Bankunterla- gen für den ersuchenden Staat ist vorliegend – entgegen der Ansicht der Beschwerdeführerin – ohne Belang, dass die Beschwerdeführerin ihr Konto bei der Bank G erst im Jahre 2014 eröffnet hat. Ob die Transaktionen schliesslich tatsächlich deliktischen Hintergrunds sind, wird im panamai- schen Strafverfahren festzustellen sein. Im Übrigen sind die Überweisungen auch als potentiell relevant zu bezeichnen, um darauf Rückschlüsse be- aber auch entlastender Natur über das den beschuldigten Personen angelastete Verhalten zu ziehen. Ein unverhältnismässiges Handeln der Beschwerde- gegnerin ist damit nicht zu erkennen, und von einer unzulässigen Beweis- ausforschung kann keine Rede sein. Die Beschwerde erweist sich auch in diesem Punkt als unbegründet.</w:t>
      </w:r>
    </w:p>
    <w:p>
      <w:r>
        <w:rPr>
          <w:b/>
        </w:rPr>
        <w:t>E. 6.1</w:t>
      </w:r>
    </w:p>
    <w:p>
      <w:r>
        <w:t>Soweit die Beschwerdeführerin sodann mit ihrer Eingabe vom 11. Dezem- ber 2019 ihre Beschwerde ergänzt haben will (vgl. supra lit. K), indem sie geltend macht, das gegen die eingangs erwähnten Personen geführte Straf- verfahren sei politischer Natur bzw. politisch motiviert (act. 5 und 5.1), ist Folgendes festzuhalten:</w:t>
      </w:r>
    </w:p>
    <w:p>
      <w:r>
        <w:rPr>
          <w:b/>
        </w:rPr>
        <w:t>E. 6.2.1</w:t>
      </w:r>
    </w:p>
    <w:p>
      <w:r>
        <w:t>Einem Rechtshilfeersuchen wird nicht entsprochen, wenn Gründe für die An- nahme bestehen, dass das Verfahren im Ausland durchgeführt wird, um eine Person wegen ihrer politischen Anschauungen, wegen ihrer Zugehörigkeit zu einer bestimmten sozialen Gruppe oder aus Gründen der Rasse, Religion oder Volkszugehörigkeit zu verfolgen oder zu bestrafen (Art. 2 lit. b IRSG). Einem Ersuchen wird auch nicht entsprochen, wenn Gegenstand des Ver- fahrens eine Tat ist, die nach schweizerischer Auffassung vorwiegend politi- schen Charakter hat (Art. 3 Abs. 1 IRSG).</w:t>
      </w:r>
    </w:p>
    <w:p>
      <w:r>
        <w:rPr>
          <w:b/>
        </w:rPr>
        <w:t>E. 6.2.2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w:t>
      </w:r>
    </w:p>
    <w:p>
      <w:r>
        <w:t>- 12 -</w:t>
      </w:r>
    </w:p>
    <w:p>
      <w:r>
        <w:t>sich im Ausland aufhalten oder sich auf dem Gebiet des ersuchenden Staa- tes befinden, ohne dort einer Gefahr ausgesetzt zu sein, grundsätzlich nicht auf Art. 2 IRSG berufen (BGE 130 II 217 E. 8.2 S. 227 f. m.w.H.; Urteile des Bundesgerichts 1C_103/2009 vom 6. April 2009 E. 2; 1C_70/2009 vom 17. April 2009 E. 1.2; 1A.43/2007 vom 24. Juli 2007 E. 3.2; 1A.212/2000 vom 19. September 2000 E. 3a/cc).</w:t>
      </w:r>
    </w:p>
    <w:p>
      <w:r>
        <w:t>Nach der neuesten Rechtsprechung der Beschwerdekammer kann sich auch eine juristische Person auf Art. 2 IRSG berufen, wenn sie selbst im ausländischen Strafverfahren beschuldigt ist. Ihre Rügemöglichkeit be- schränkt sich dabei naturgemäss aber auf die Verletzung des Rechts auf ein faires Verfahren nach Art. 6 EMRK (TPF 2016 138 E. 4.2 und 4.3).</w:t>
      </w:r>
    </w:p>
    <w:p>
      <w:r>
        <w:rPr>
          <w:b/>
        </w:rPr>
        <w:t>E. 6.2.3</w:t>
      </w:r>
    </w:p>
    <w:p>
      <w:r>
        <w:t>Bei der Beschwerdeführerin handelt es sich um eine juristische Person mit Sitz in Uruguay und somit ausserhalb des ersuchenden Staates. Sie ist im panamaischen Strafverfahren unbestrittenermassen nicht beschuldigt. Bei dieser Sachlage kann sich demnach die Beschwerdeführerin nicht auf eigene schützenswerte Interessen berufen. Daran ändert auch die Berufung der Beschwerdeführerin auf den Schutz ihrer Privatsphäre nichts, denn im Bereich der internationalen Rechtshilfe in Strafsachen bietet der Anspruch auf Privatsphäre (Art. 13 BV) keinen über das Verhältnismässigkeitsprinzip hinausgehenden Rechtsschutz (Urteil des Bundesgerichts 1A.331/2005 vom 24. Januar 2006 E. 2.1; Entscheid des Bundesstrafgerichts RR.2009.139 vom 6. Oktober 2009 E. 6). Die Rüge der Verletzung von Art. 2 und 3 IRSG ist nach dem Gesagten nicht zu hören.</w:t>
      </w:r>
    </w:p>
    <w:p>
      <w:r>
        <w:rPr>
          <w:b/>
        </w:rPr>
        <w:t>E. 7</w:t>
      </w:r>
    </w:p>
    <w:p>
      <w:r>
        <w:t>Andere Rechtshilfehindernisse werden nicht genannt und sind auch nicht er- sichtlich. Der Herausgabe der vorgenannten Unterlagen steht somit nichts entgegen. Die Beschwerde erweist sich in allen Punkten als unbegründet und ist abzuweisen.</w:t>
      </w:r>
    </w:p>
    <w:p>
      <w:r>
        <w:rPr>
          <w:b/>
        </w:rPr>
        <w:t>E. 8</w:t>
      </w:r>
    </w:p>
    <w:p>
      <w:r>
        <w:t>Bei diesem Ausgang des Verfahrens sind die Gerichtskosten der Beschwer- deführerin aufzuerlegen (Art. 63 Abs. 1 VwVG). Die Gerichtsgebühr ist auf Fr. 5'000.-- festzusetzen (vgl. Art. 63 Abs. 5 VwVG i.V.m. Art. 73 StBOG sowie Art. 5 und 8 Abs. 3 lit. a BStKR), unter Anrechnung des geleisteten Kostenvorschusses in derselben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