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RR.2019.281 vom 20. Mai 2020</w:t>
      </w:r>
    </w:p>
    <w:p>
      <w:r>
        <w:t>Bundesstrafgericht, 2020-05-20, FR</w:t>
      </w:r>
    </w:p>
    <w:p>
      <w:r>
        <w:rPr>
          <w:b/>
        </w:rPr>
        <w:t xml:space="preserve">Quelle: </w:t>
      </w:r>
      <w:r>
        <w:t>https://mcp.opencaselaw.ch/entscheid/bstger_RR.2019.281</w:t>
      </w:r>
    </w:p>
    <w:p>
      <w:r>
        <w:t>FR: TPF RR.2019.281 du 20 mai 2020</w:t>
      </w:r>
    </w:p>
    <w:p>
      <w:r>
        <w:t>IT: TPF RR.2019.281 del 20 maggio 2020</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no CELEX 42000A0922[02]; Journal officiel de l'Union européenne L 239 du 22 septembre 2000, p. 19-62; publication de la Chancellerie fédérale, « Entraide et extradition ») s'appliquent également à l'entraide pénale entre la Suisse et le Portugal (v. arrêt du Tribunal pénal</w:t>
      </w:r>
    </w:p>
    <w:p>
      <w:r>
        <w:t>- 4 -</w:t>
      </w:r>
    </w:p>
    <w:p>
      <w:r>
        <w:t>fédéral RR.2011.232-234 du 12 octobre 2011 consid. 1).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 de faveur »)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de la procédure d'entraide est de 30 jours dès la communication écrite de celle-ci (art. 80k EIMP), c'est- à-dire, de sa notification (ATF 136 IV 16 consid. 2.3). Interjeté le 21 octobre 2019 contre une décision notifiée le 19 septembre 2019 (cf. act. 1, p. 3), le recours a été déposé en temps utile.</w:t>
      </w:r>
    </w:p>
    <w:p>
      <w:r>
        <w:rPr>
          <w:b/>
        </w:rPr>
        <w:t>E. 1.4</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w:t>
      </w:r>
    </w:p>
    <w:p>
      <w:r>
        <w:rPr>
          <w:b/>
        </w:rPr>
        <w:t>E. 1.4.1</w:t>
      </w:r>
    </w:p>
    <w:p>
      <w:r>
        <w:t>En l’espèce, les trois enfants de A. (B., C. et D.) sont co-titulaires de la relation no 2 visée par la décision de clôture du MP-GE (dossier du MP-GE 80'503). Par conséquent, ces trois recourants sont admis à s’opposer à la transmission des documents les concernant.</w:t>
      </w:r>
    </w:p>
    <w:p>
      <w:r>
        <w:rPr>
          <w:b/>
        </w:rPr>
        <w:t>E. 1.4.2</w:t>
      </w:r>
    </w:p>
    <w:p>
      <w:r>
        <w:t>Au sujet de la relation no 1, A. a expliqué, au cours de la procédure devant le MP-GE, qu’il n’était pas le titulaire du compte (act. 1.6), ce qu’il a confirmé durant la présente procédure de recours (act. 1, p. 9 et 13, p. 2). Par conséquent, il n’a pas en l’espèce la qualité pour recourir. A. soutient néanmoins avoir un intérêt légitime à s’opposer à la décision entreprise en ce qu’elle retient de façon inexacte dans son dispositif, que le compte no 1</w:t>
      </w:r>
    </w:p>
    <w:p>
      <w:r>
        <w:t>- 5 -</w:t>
      </w:r>
    </w:p>
    <w:p>
      <w:r>
        <w:t>auprès de la banque E. à U. serait détenu par lui (« Doc. ouv. no 1 A. Me François Roger Micheli voir rép. Bq E. 26.7.2016 (CP/353/2013), copies »; act. 1.1, p. 5). Selon lui, une telle supputation crée une image fausse de la situation (act. 1, p. 19). L’intéressé précise que le document litigieux de la banque E. avait déjà été transmis à l’Etat requérant lors d’une précédente procédure d’entraide, dès lors qu’il fournissait des renseignements sur un autre compte (no 3), dont A. est titulaire (cf. act. 1.7 et 1.10).</w:t>
      </w:r>
    </w:p>
    <w:p>
      <w:r>
        <w:t>En l’occurrence, la lettre concernée – objet de l’entraide – n’indique pas qui est le titulaire du compte bancaire no 1. La Cour de céans constate que, même si la manière de citer du MP-GE dans sa décision de clôture pouvait éventuellement porter à confusion sur l’identité du titulaire du compte, cela ne permet pas pour autant de reconnaître la qualité pour recourir à A. Partant, le recours formé par A. est déclaré irrecevable. Pour ce motif, les griefs soulevés en lien avec la relation bancaire no 1 ne seront pas examinés.</w:t>
      </w:r>
    </w:p>
    <w:p>
      <w:r>
        <w:rPr>
          <w:b/>
        </w:rPr>
        <w:t>E. 1.5</w:t>
      </w:r>
    </w:p>
    <w:p>
      <w:r>
        <w:t>Au vu de ce qui précède, seul le recours interjeté par B., C. et D. est recevable, de sorte qu’il y a lieu d'entrer en matière sur celui-ci.</w:t>
      </w:r>
    </w:p>
    <w:p>
      <w:r>
        <w:rPr>
          <w:b/>
        </w:rPr>
        <w:t>E. 2</w:t>
      </w:r>
    </w:p>
    <w:p>
      <w:r>
        <w:t>En l'espèce, le litige porte sur la question de savoir si le MP-GE a ordonné à juste titre la transmission à l'autorité requérante des pièces requises relatives à la relation no 2, compte bancaire détenu par B, C. et D. (cf. décision de clôture du 27 septembre 2019).</w:t>
      </w:r>
    </w:p>
    <w:p>
      <w:r>
        <w:rPr>
          <w:b/>
        </w:rPr>
        <w:t>E. 3.1</w:t>
      </w:r>
    </w:p>
    <w:p>
      <w:r>
        <w:t>Les recourants, co-titulaires de la relation no 2, soulèvent que la transmission des informations relatives à ce compte n’est pas conforme au principe de proportionnalité et aux critères de l’utilité potentielle. D’après eux, le compte bancaire n’a pas été utilisé en rapport avec les infractions sous enquête au Portugal. Ils expliquent que n’étant pas sous enquête dans l’Etat requérant, leur seul lien avec l’affaire est d’être les enfants de A. (act. 1, p. 5-7).</w:t>
      </w:r>
    </w:p>
    <w:p>
      <w:r>
        <w:rPr>
          <w:b/>
        </w:rPr>
        <w:t>E. 3.2.1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aussi à l'autorité suisse d'aller au-delà des requêtes qui lui sont adressées et d'accorder à l'Etat requérant plus qu'il n'a demandé.</w:t>
      </w:r>
    </w:p>
    <w:p>
      <w:r>
        <w:t>- 6 -</w:t>
      </w:r>
    </w:p>
    <w:p>
      <w:r>
        <w:t>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RR.2015.314 du 24 février 2016 consid. 2.2; RR.2010.173 du 13 octobre 2010 consid. 4.2.4/a; RR.2009.320 du 2 février 2010 consid. 4.1; ZIMMERMANN, La coopération judiciaire internationale en matière pénale, 5ème éd. 2019, no 723 s.).</w:t>
      </w:r>
    </w:p>
    <w:p>
      <w:r>
        <w:rPr>
          <w:b/>
        </w:rPr>
        <w:t>E. 3.2.2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RR.2013.231 du 23 octobre 2013 consid. 4.1 et les références citées; RR.2008.287 du 9 avril 2009 consid. 2.2.4 et la jurisprudence citée).</w:t>
      </w:r>
    </w:p>
    <w:p>
      <w:r>
        <w:t>- 7 -</w:t>
      </w:r>
    </w:p>
    <w:p>
      <w:r>
        <w:rPr>
          <w:b/>
        </w:rPr>
        <w:t>E. 3.2.3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arrêt du Tribunal fédéral 1A.249/2006 du 26 janvier 2007 consid. 4.2).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rPr>
          <w:b/>
        </w:rPr>
        <w:t>E. 3.3</w:t>
      </w:r>
    </w:p>
    <w:p>
      <w:r>
        <w:t>En l’espèce, la relation bancaire no 2 figure expressément dans la demande d'entraide des autorités portugaises qui sollicitent la transmission de la documentation y relative, s’agissant du « compte vers lequel avait été initialement demandé le transfert du solde existant sur le compte no 3 de A. » (act. 1.2: demande d’entraide, p. 8). Il n'apparaît pas disproportionné, mais au contraire conforme au principe de l'utilité potentielle, que l'autorité requérante veuille vérifier les mouvements de fonds liés au compte no 2. La documentation transmise permettra aux autorités portugaises notamment d'examiner si des fonds délictueux sont passés par ce compte bancaire. Dans l'éventualité où ce ne serait pas le cas, comme allégué par les recourants, cela ne constitue pas un motif pour refuser la demande d'entraide. En effet, l’autorité requérante dispose d’un intérêt à pouvoir le vérifier par elle-même, au regard d’une documentation complète. N’est</w:t>
      </w:r>
    </w:p>
    <w:p>
      <w:r>
        <w:t>- 8 -</w:t>
      </w:r>
    </w:p>
    <w:p>
      <w:r>
        <w:t>également pas décisif que la relation visée n’aurait jamais été effectivement créditée par le compte no 3 appartenant à A. Il importe également peu de savoir, contrairement à l’argumentation des recourants, si les co-titulaires du compte no 2 sont poursuivis, ou même été entendus ou font l’objet de mesures d’instruction, dans l’Etat requérant dans la cause qu’il investigue. Enfin, dans cette constellation, l’utilité potentielle de la présente demande d’entraide est reconnue indépendamment d’une précédente entraide qui concernait A. et qui avait été accordée (cf. arrêt du Tribunal pénal fédéral RR.2016.261-262 du 19 avril 2017).</w:t>
      </w:r>
    </w:p>
    <w:p>
      <w:r>
        <w:rPr>
          <w:b/>
        </w:rPr>
        <w:t>E. 3.4</w:t>
      </w:r>
    </w:p>
    <w:p>
      <w:r>
        <w:t>Au vu de ce qui précède, il existe un lien de connexité suffisant entre l'état de fait faisant l'objet de l'enquête pénale par les autorités portugaises et la documentation bancaire visée par la remise, d'autant que l'autorité requérante a expressément sollicité cette documentation. Le principe de la proportionnalité n'a donc pas été violé. Mal fondé ce grief doit être rejeté.</w:t>
      </w:r>
    </w:p>
    <w:p>
      <w:r>
        <w:rPr>
          <w:b/>
        </w:rPr>
        <w:t>E. 4.1</w:t>
      </w:r>
    </w:p>
    <w:p>
      <w:r>
        <w:t>Les recourants se prévalent de la violation du principe de la double incrimination (act. 1, p.10-12).</w:t>
      </w:r>
    </w:p>
    <w:p>
      <w:r>
        <w:rPr>
          <w:b/>
        </w:rPr>
        <w:t>E. 4.2.1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126 II 495 consid. 5e/aa; 118 Ib 111 consid. 5b; 107 Ib 264 consid. 3a; arrêt du Tribunal pénal fédéral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rPr>
          <w:b/>
        </w:rPr>
        <w:t>E. 4.2.2</w:t>
      </w:r>
    </w:p>
    <w:p>
      <w:r>
        <w:t>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arrêts cités; arrêt du Tribunal fédéral 1A.205/2006 du 7 décembre 2006 consid. 3.1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 La condition de la double incrimination s'examine selon le droit en vigueur dans l'État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RR.2012.262- 263 du 28 juin 2013 consid. 2.1; RR.2011.246 du 30 novembre 2011 consid. 3.2; RR.2007.178 du 29 novembre 2007 consid. 4.3; v. ég. ZIMMERMANN, op. cit., no 581, p. 622 s.).</w:t>
      </w:r>
    </w:p>
    <w:p>
      <w:r>
        <w:rPr>
          <w:b/>
        </w:rPr>
        <w:t>E. 4.3</w:t>
      </w:r>
    </w:p>
    <w:p>
      <w:r>
        <w:t>En l’espèce, comme il ressort de la demande d’entraide, A., en qualité de président du conseil d’administration de F. (entité concessionnaire d’un service public) aurait favorisé les intérêts d’un actionnaire (groupe H.) en contrepartie d’avantages économiques convenus avec G. (président du conseil d’administration du groupe H.). Pour justifier les sommes reçues, A. aurait notamment mis en place des circuits financiers, à l’origine desquels se trouvent les fonds en Suisse (cf. let. C). Le MP-GE a considéré que les faits</w:t>
      </w:r>
    </w:p>
    <w:p>
      <w:r>
        <w:t>- 10 -</w:t>
      </w:r>
    </w:p>
    <w:p>
      <w:r>
        <w:t>incriminés dans la demande d’entraide à l’encontre de A. peuvent être qualifiés, notamment, d’escroquerie (art. 146 CP), de corruption de fonctionnaires étrangers (art. 322septies CP), de gestion déloyale (art. 158 CP) et de blanchiment (art. 305bis CP).</w:t>
      </w:r>
    </w:p>
    <w:p>
      <w:r>
        <w:rPr>
          <w:b/>
        </w:rPr>
        <w:t>E. 4.4</w:t>
      </w:r>
    </w:p>
    <w:p>
      <w:r>
        <w:t>A titre liminaire, les recourants contestent que les conditions soient réunies pour la réalisation de ces infractions au motif que tous les encaissements de A. étaient licites, ce qui ressortirait de la demande d’entraide: « qui plus est, ces encaissements, bien que licites, ont été occultés au Portugal car ils ne figurent pas dans les déclarations fiscales présentées; ainsi, A. visait à obtenir des avantages économiques tout en trompant l’administration fiscale sur ses revenus » (act. 1.2, p. 5). Néanmoins, il ne fait aucun doute que le but de la procédure pénale portugaise est celui d’enquêter sur les avantages économiques obtenus par A., notamment, et ces avantages ne peuvent pas être qualifiés prima facie de licites.</w:t>
      </w:r>
    </w:p>
    <w:p>
      <w:r>
        <w:rPr>
          <w:b/>
        </w:rPr>
        <w:t>E. 4.5.1</w:t>
      </w:r>
    </w:p>
    <w:p>
      <w:r>
        <w:t>S’agissant de l’infraction de gestion déloyale (art.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Si l’auteur a agi dans le dessein de se procurer ou de procurer à un tiers un enrichissement illégitime, le juge pourra prononcer une peine privative de liberté de un à cinq ans. Cette infraction suppose donc la réalisation de quatre éléments constitutifs: il faut que l'auteur ait eu une position de gérant, qu'il ait violé une obligation lui incombant en cette qualité, qu'il en soit résulté un dommage et qu'il ait agi intentionnellement (cf. ATF 120 IV 190 consid. 2b p. 192; arrêt du Tribunal fédéral 6B_1030/2018 du 20 novembre 2018 consid. 1.1). A titre d’exemple, le Tribunal fédéral a considéré la condition de la double incrimination respectée, à l’aune de l’art. 158 CP, dans le cas où le dirigeant d’une société a transféré les actifs de celle-ci à une autre société, qu’il domine, en vidant la première de sa substance (arrêt du Tribunal fédéral 1A.125/2006 du 10 août 2006).</w:t>
      </w:r>
    </w:p>
    <w:p>
      <w:r>
        <w:rPr>
          <w:b/>
        </w:rPr>
        <w:t>E. 4.5.2</w:t>
      </w:r>
    </w:p>
    <w:p>
      <w:r>
        <w:t>En l’espèce, A. était président du conseil d’administration de F. Il aurait violé son devoir de gestion en favorisant les intérêts de l’actionnaire du groupe H. au travers de décisions et d’interventions qui s’alignaient sur les stratégies définies par G. (alors président du conseil d’administration du groupe H.) à l’égard de F. Cette société-ci a ainsi placé, à travers ses filiales, la quasi- totalité de sa trésorerie disponible (EUR 897'000'000.--) auprès du groupe H., sans en informer ses actionnaires (v. 1.1-1.2). Ce comportement cause prima facie un dommage à F., dès lors que le groupe H, ayant été mise en</w:t>
      </w:r>
    </w:p>
    <w:p>
      <w:r>
        <w:t>- 11 -</w:t>
      </w:r>
    </w:p>
    <w:p>
      <w:r>
        <w:t>faillite, n’a pas remboursé les prêts à F. (cf. act. 1.1). Le cours de l’action de F. a chuté et cette société a été reprise par un groupe brésilien (cf. act. 1.1). Enfin, contrairement à ce qu’il a été retenu, les recourants sont d’avis que A. n’a pas agi d’une façon ne correspondant pas aux souhaits de certains actionnaires minoritaires. Selon eux, l’on ne pourrait faire grief au conseil d’administration d’une société de s’orienter d’après les intérêts du plus important groupe d’actionnaires (à savoir la banque J. et les entités contrôlées par elle); c’est le comportement contraire (à savoir laisser certains actionnaires minoritaires déterminer les décisions de la société) qui pourrait être qualifié (en droit suisse) de gestion déloyale (act. 1, p. 12). Toutefois, les recourants ne démontrent pas que les faits retenus dans la demande d’entraide – et exposés ci-dessus – sont erronés et qu’il conviendrait de s’en écarter. A titre superfétatoire, prima facie, le conseil d’administration doit au contraire d’abord gérer et sauvegarder les intérêts (patrimoniaux) de la société afin d’assurer notamment sa viabilité, avant de s’orienter vers les intérêts des actionnaires.</w:t>
      </w:r>
    </w:p>
    <w:p>
      <w:r>
        <w:rPr>
          <w:b/>
        </w:rPr>
        <w:t>E. 4.6</w:t>
      </w:r>
    </w:p>
    <w:p>
      <w:r>
        <w:t>Il s'ensuit que les faits tels que présentés dans la requête sont, prima facie, constitutifs de gestion déloyale (art. 158 CP). Il suffit que les faits décrits dans la demande soient punissables sous l'angle d'une seule disposition pénale (v. supra, consid. 4.1), de sorte qu‘il n’est pas nécessaire en principe d’examiner la condition de la double incrimination relative aux autres infractions pour lesquelles A. est poursuivi au Portugal. Néanmoins, par surabondance, l’état de fait abstraitement transposé en droit suisse, pourrait également réaliser les éléments constitutifs du blanchiment d'argent (art. 305bis CP).</w:t>
      </w:r>
    </w:p>
    <w:p>
      <w:r>
        <w:rPr>
          <w:b/>
        </w:rPr>
        <w:t>E. 4.6.1</w:t>
      </w:r>
    </w:p>
    <w:p>
      <w:r>
        <w:t>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 blanchiment d'argent est une infraction de mise en danger abstraite (ATF 136 IV 188 consid. 6.1; DUPUIS ET AL., Petit commentaire, 2ème éd. 2017, n° 6 ad art. 305bis CP et références citées) et le bien juridique protégé est l’administration de la justice pénale en Suisse ou à l’étranger (CASSANI, Commentaire romand, 2009 n° 10 ad art. 305bis CP; DUPUIS ET AL., op. cit., nos 3 et 5 ad art. 305bis CP). Le comportement délictueux consiste à entraver l'accès de l'autorité pénale au butin d'un crime, en rendant plus difficile l'établissement du lien de provenance entre la valeur patrimoniale (au sens large) et le crime, ce qui doit être examiné au cas par cas, en fonction de l'ensemble des circonstances. L'acte d'entrave peut être constitué par n'importe quel comportement propre à faire obstacle à l'identification de l'origine, la</w:t>
      </w:r>
    </w:p>
    <w:p>
      <w:r>
        <w:t>- 12 -</w:t>
      </w:r>
    </w:p>
    <w:p>
      <w:r>
        <w:t>découverte ou la confiscation de la valeur patrimoniale provenant d'un crime (ATF 136 IV 188 consid. 6.1 et les références citées; v. ATF 144 IV 172 consid. 7.2.2 p. 174). Quant aux manœuvres visant à dissimuler le lien de provenance ou l’appartenance réelle des biens, elles peuvent être accomplies, entre autres, en transférant de l’argent à l’étranger par un virement bancaire ou par le transport physique d’espèces (CASSANI, Commentaire romand, no 35 ad art. 305bis CP).</w:t>
      </w:r>
    </w:p>
    <w:p>
      <w:r>
        <w:rPr>
          <w:b/>
        </w:rPr>
        <w:t>E. 4.6.2</w:t>
      </w:r>
    </w:p>
    <w:p>
      <w:r>
        <w:t>Lorsque l'autorité étrangère adresse une requête d'entraide aux fins d'appuyer une enquête menée du chef de blanchiment d'argent, elle ne doit pas nécessairement apporter la preuve de la commission des actes de blanchiment ou de l'infraction préalable; un simple soupçon considéré objectivement suffit pour l'octroi de la coopération sous l'angle de la double incrimination (v. arrêts du Tribunal fédéral 1A.231/2003 du 6 février 2004, consid. 5.3; 1A.5/2004 consid. 5.2.1; arrêts du Tribunal pénal fédéral RR.2019.172+173 du 28 janvier 2020 consid. 4.4.2; RR.2017.99; RR.2017.65/RP.2017.22 du 1er décembre 2017 consid. 4.2; TPF 2011 194 consid. 2.1 in fine; v. ég. ZIMMERMANN, op. cit., n° 602). La Suisse doit ainsi pouvoir accorder sa collaboration lorsque le soupçon de blanchiment est uniquement fondé sur l'existence de transactions suspectes, des exemples typiques étant ceux de transactions dénuées de justification apparente ou en utilisant de nombreuses sociétés réparties dans plusieurs pays (arrêt du Tribunal pénal fédéral RR.2019.172+173 du 28 janvier 2020 consid. 4.4.2; RR.2008.69-72 du 14 août 2008 consid. 3.3 et références citées). L'importance des sommes mises en cause lors des transactions suspectes constitue également un motif de soupçon de blanchiment. Cette interprétation correspond à la notion d'entraide « la plus large possible » dont il est question aux art. 1 CEEJ, art. 7 ch. 1 et 8 CBI (ATF 129 II 97 consid. 3.2).</w:t>
      </w:r>
    </w:p>
    <w:p>
      <w:r>
        <w:rPr>
          <w:b/>
        </w:rPr>
        <w:t>E. 4.6.3</w:t>
      </w:r>
    </w:p>
    <w:p>
      <w:r>
        <w:t>En l’occurrence, les autorités portugaises mènent une enquête pénale à l’encontre de A. pour les chefs notamment de corruption et de gestion déloyale, qui constitueraient les crimes préalables au blanchiment d’argent. Il ressort de cette enquête que des sommes importantes ont été versées par le groupe H. à certains dirigeants de F.; plusieurs comptes bancaires ont été identifiés en Suisse pour avoir reçu des rétrocessions de commissions (ou autres rémunérations) de la part du groupe H. avec de fausses justifications (vente fictive de parts sociales d’une autre société). Ainsi, il s’agit de soupçons suffisants d’actes de blanchiment pour octroyer l’entraide à l’Etat requérant.</w:t>
      </w:r>
    </w:p>
    <w:p>
      <w:r>
        <w:rPr>
          <w:b/>
        </w:rPr>
        <w:t>E. 4.7</w:t>
      </w:r>
    </w:p>
    <w:p>
      <w:r>
        <w:t>Au vu de l’ensemble d’éléments qui précèdent, le grief selon lequel le principe de la double incrimination ne serait pas respecté est infondé et doit</w:t>
      </w:r>
    </w:p>
    <w:p>
      <w:r>
        <w:t>- 13 -</w:t>
      </w:r>
    </w:p>
    <w:p>
      <w:r>
        <w:t>être rejeté.</w:t>
      </w:r>
    </w:p>
    <w:p>
      <w:r>
        <w:t>5. Les recourants (B., C. et D.) soutiennent que la poursuite menée contre A. a un but fiscal constituant un motif d’irrecevabilité au sens de l’art. 3 al. 3 EIMP (act. 1, p. 13-14).</w:t>
      </w:r>
    </w:p>
    <w:p>
      <w:r>
        <w:t>5.1 Dans le domaine de l’entraide, le principe de la spécialité a pour effet d’interdire l’usage par l’Etat requérant des documents, renseignements et informations reçus, pour la répression de délits à raison desquels l’Etat requis exclut sa coopération (art. 67 al. 1 EIMP; ATF 128 II 305 consid. 3.1 p. 307; ZIMMERMANN, op. cit., no 729). Cela concerne notamment les délits fiscaux (art. 3 al. 3 EIMP). Une partie ne peut se prévaloir du principe de la spécialité que pour la défense de ses intérêts propres, à l’exclusion de ceux de tiers (arrêt du Tribunal pénal fédéral RR.2017.234 du 1er mars 2018 consid. 3.4-3.5; ZIMMERMANN, op. cit., no 727).</w:t>
      </w:r>
    </w:p>
    <w:p>
      <w:r>
        <w:t>5.2 En l’occurrence, A. fait certes l’objet d’un acte d’accusation dans l’Etat requérant (cf. act. 1.2, p. 2). Néanmoins, comme l’ont précédemment exposé les recourants, en tant qu’enfants de A., ils ne sont pas parties à la procédure ouverte dans l’Etat requérant (v. supra consid. 3.1). Ne s’agissant pas de leurs propres intérêts, ils ne peuvent donc pas user des voies de droit en Suisse comme Etat requis pour se plaindre d'une éventuelle violation du principe de la spécialité par les autorités de l'Etat requérant ou d'un autre Etat. Ce grief est par conséquent irrecevable.</w:t>
      </w:r>
    </w:p>
    <w:p>
      <w:r>
        <w:rPr>
          <w:b/>
        </w:rPr>
        <w:t>E. 6</w:t>
      </w:r>
    </w:p>
    <w:p>
      <w:r>
        <w:t>janvier 2020 consid. 3.2 et la référence citée).</w:t>
      </w:r>
    </w:p>
    <w:p>
      <w:r>
        <w:t>- 9 -</w:t>
      </w:r>
    </w:p>
    <w:p>
      <w:r>
        <w:rPr>
          <w:b/>
        </w:rPr>
        <w:t>E. 6.1</w:t>
      </w:r>
    </w:p>
    <w:p>
      <w:r>
        <w:t>Dans un dernier grief, les recourants soulèvent une violation du principe de la confiance par l’Etat requérant, qui aurait exposé des faits erronés dans sa demande d’entraide (act. 1, p. 14-16). Ils allèguent que le « Tribunal da Relaçao de Lisboa » aurait désavoué, dans un arrêt du 28 mars 2018 (n’ayant pas fait l’objet d’un recours), les autorités de poursuite pénale portugaise en levant un séquestre conservatoire ordonné par celles-ci à l’encontre de K. SA. Ainsi, l’autorité requérante aurait retenu à tort – et contrairement à ce qui a été jugé de manière définitive – que A. aurait frauduleusement confectionné des contrats de vente des parts sociales de sa société K. SA, de manière à faire croire qu’il les avait vendues à la société L. SA (cf. act. 1.2, p. 6).</w:t>
      </w:r>
    </w:p>
    <w:p>
      <w:r>
        <w:rPr>
          <w:b/>
        </w:rPr>
        <w:t>E. 6.2</w:t>
      </w:r>
    </w:p>
    <w:p>
      <w:r>
        <w:t>Les principes de confiance et de bonne foi régissent les relations entre les États et qu’il est généralement admis que l’État requis se fie aux explications fournies par l’État requérant (v. arrêt du Tribunal fédéral 1C_491/2015 du</w:t>
      </w:r>
    </w:p>
    <w:p>
      <w:r>
        <w:t>- 14 -</w:t>
      </w:r>
    </w:p>
    <w:p>
      <w:r>
        <w:t>2 novembre 2015 consid. 1.3.2; LUDWICZAK GLASSEY, Entraide judiciaire internationale en matière pénale, 2018, no 56; arrêt du Tribunal pénal fédéral RR.2017.131-144 du 27 mars 2018 consid. 6.2). Une remise en question de ces explications ne peut donc avoir lieu que lorsque les déclarations de l’État étranger sont manifestement contradictoires ou contraires à la vérité (ATF 121 I 181 consid. 2c/aa).</w:t>
      </w:r>
    </w:p>
    <w:p>
      <w:r>
        <w:rPr>
          <w:b/>
        </w:rPr>
        <w:t>E. 6.3</w:t>
      </w:r>
    </w:p>
    <w:p>
      <w:r>
        <w:t>En l’espèce, les recourants ont produit une traduction partielle de l’arrêt du « Tribunal da Relaçao de Lisboa » (act. 1.11, traduction). Il en ressort que K. SA aurait formé recours contre une saisie préventive. Le Tribunal aurait prononcé la levée de la saisie de bâtiments urbains et de propriété rurale, mais non des actions représentant le 30% du capital social de K. SA, dont les parts sont détenues par L. SA. Le Tribunal précise que « il n’existe aucun obstacle juridique à ce que le capital-actions (30% des actions de K. SA) puisse être saisi à titre préventif » (act. 1.11, traduction p. 3-4). Ainsi, on peine à comprendre pour quels motifs le Tribunal portugais aurait désavoué les autorités pénales portugaises en ce qui concerne les actions de K. SA. En effet, le séquestre a été maintenu en ce qui les concerne. Au vu des faits précités retenus dans le jugement, force est de constater que les déclarations du Portugal ne sont pas manifestement contradictoires ou contraires à la vérité. Partant, aussi ce grief doit être rejeté.</w:t>
      </w:r>
    </w:p>
    <w:p>
      <w:r>
        <w:rPr>
          <w:b/>
        </w:rPr>
        <w:t>E. 7</w:t>
      </w:r>
    </w:p>
    <w:p>
      <w:r>
        <w:t>Au vu de ce qui précède, le recours formé par B. C. et D. doit être rejeté dans la mesure de sa recevabilité.</w:t>
      </w:r>
    </w:p>
    <w:p>
      <w:r>
        <w:rPr>
          <w:b/>
        </w:rPr>
        <w:t>E. 8</w:t>
      </w:r>
    </w:p>
    <w:p>
      <w:r>
        <w:t>Vu l'issue du litige, les frais de procédure comprenant l'émolument d'arrêté, les émoluments de chancellerie et les débours seront mis à la charge des recourants qui succombent (cf. art. 63 al. 1 PA, applicable par renvoi de l'art. 39 al. 2 let. b LOAP). En application des art. 73 al. 2 LOAP et 8 al. 3 du règlement du Tribunal pénal fédéral sur les frais, émoluments, dépens et indemnités de la procédure pénale fédérale (RFPPF; RS 173.713.162), compte tenu de l'ampleur et de la difficulté de la cause, de la façon de procéder des parties, de leur situation financière et des frais de chancellerie, les intéressés supporteront solidairement les frais du présent arrêt, lesquels sont fixés à CHF 8'000.--. Ce montant est entièrement couvert par l'avance de frais versée par les recourants au Tribunal pénal fédéral.</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