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RR.2019.271 vom 28. Mai 2020</w:t>
      </w:r>
    </w:p>
    <w:p>
      <w:r>
        <w:t>Bundesstrafgericht, 2020-05-28, FR</w:t>
      </w:r>
    </w:p>
    <w:p>
      <w:r>
        <w:rPr>
          <w:b/>
        </w:rPr>
        <w:t xml:space="preserve">Quelle: </w:t>
      </w:r>
      <w:r>
        <w:t>https://mcp.opencaselaw.ch/entscheid/bstger_RR.2019.271</w:t>
      </w:r>
    </w:p>
    <w:p>
      <w:r>
        <w:t>FR: TPF RR.2019.271 du 28 mai 2020</w:t>
      </w:r>
    </w:p>
    <w:p>
      <w:r>
        <w:t>IT: TPF RR.2019.271 del 28 maggio 2020</w:t>
      </w:r>
    </w:p>
    <w:p>
      <w:pPr>
        <w:pStyle w:val="Heading2"/>
      </w:pPr>
      <w:r>
        <w:t>Regeste</w:t>
      </w:r>
    </w:p>
    <w:p>
      <w:r>
        <w:t>Entraide judiciaire internationale en matière pénale à l'Italie. Remise de moyens de preuve (art. 74 EIMP).</w:t>
      </w:r>
    </w:p>
    <w:p>
      <w:pPr>
        <w:pStyle w:val="Heading2"/>
      </w:pPr>
      <w:r>
        <w:t>Erwägungen</w:t>
      </w:r>
    </w:p>
    <w:p>
      <w:r>
        <w:rPr>
          <w:b/>
        </w:rPr>
        <w:t>E. 1.1</w:t>
      </w:r>
    </w:p>
    <w:p>
      <w:r>
        <w:t>L'entraide judiciaire entre la République italienne et la Confédération suisse est prioritairement régie par la Convention européenne d'entraide judiciaire en matière pénale (CEEJ; RS 0.351.1), ainsi que par un Accord en vue de la compléter et d'en faciliter l'application (RS 0.351.945.41). A compter du 12 décembre 2008, les art. 48 ss de la Convention d'application de l'Accord Schengen du 14 juin 1985 (CAAS; n° CELEX 42000A0922(02); Journal officiel de l'Union européenne L 239 du 22 septembre 2000, p. 19 à 62 in https://www.admin.ch/opc/fr/european-union/international-agreements/008. html onglet « 8.1. Annexe A ») s'appliquent également à l'entraide pénale entre la Suisse et l'Italie (arrêt du Tribunal pénal fédéral RR.2013.293 du 21 février 2014 consid. 1.2; v. plus en général arrêt du Tribunal pénal fédéral RR.2008.98 du 18 décembre 2008 consid. 1.3). S'agissant d'une demande d'entraide présentée dans le cadre de la répression du blanchiment d'argent, entre également en considération la Convention relative au blanchiment, au dépistage, à la saisie et à la confiscation des produits du crime (CBI; RS 0.311.53), entrée en vigueur le 1er mai 1994 pour l’Italie et le 1er septembre 1993 pour la Suisse.</w:t>
      </w:r>
    </w:p>
    <w:p>
      <w:r>
        <w:t>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(ATF 145 IV 294 consid. 2.1; 142 IV 250 consid. 3; 140 IV 123 consid. 2; 137 IV 33 consid. 2.2.2 et les références citées). Le principe du droit le plus favorable à l'entraide s'applique aussi pour ce qui concerne le rapport entre elles des normes internationales</w:t>
      </w:r>
    </w:p>
    <w:p>
      <w:r>
        <w:t>- 6 -</w:t>
      </w:r>
    </w:p>
    <w:p>
      <w:r>
        <w:t>pertinentes (v. art. 48 par. 2 CAAS). L'application de la norme la plus favorable doit avoir lieu dans le respect des droits fondamentaux (ATF 135 IV 212 consid. 2.3; 123 II 595 consid. 7c).</w:t>
      </w:r>
    </w:p>
    <w:p>
      <w:r>
        <w:rPr>
          <w:b/>
        </w:rPr>
        <w:t>E. 1.2</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w:t>
      </w:r>
    </w:p>
    <w:p>
      <w:r>
        <w:rPr>
          <w:b/>
        </w:rPr>
        <w:t>E. 1.3</w:t>
      </w:r>
    </w:p>
    <w:p>
      <w:r>
        <w:t>Formé dans les 30 jours à compter de la notification de la décision de clôture, le recours a été déposé en temps utile (cf. art. 80k EIMP).</w:t>
      </w:r>
    </w:p>
    <w:p>
      <w:r>
        <w:rPr>
          <w:b/>
        </w:rPr>
        <w:t>E. 1.4</w:t>
      </w:r>
    </w:p>
    <w:p>
      <w:r>
        <w:t>Selon l'art. 80h let. b EIMP, la qualité pour recourir contre une mesure d'entraide judiciaire est reconnue à celui qui est personnellement et directement touché par la mesure d'entraide. Aux termes de l'art. 9a let. a OEIMP, est notamment réputé personnellement et directement touché, en cas d'informations sur un compte, le titulaire du compte dont les documents font l'objet de la décision de clôture. En l’occurrence, en tant que titulaires des relations bancaires visées par la décision querellée, A. et les sociétés B. LTD, C. LTD, D. LTD, E. OÜ, F. LTD, G. LTD et H. LTD ont la qualité pour attaquer la décision les concernant.</w:t>
      </w:r>
    </w:p>
    <w:p>
      <w:r>
        <w:rPr>
          <w:b/>
        </w:rPr>
        <w:t>E. 1.5</w:t>
      </w:r>
    </w:p>
    <w:p>
      <w:r>
        <w:t>Au vu de ce qui précède, il y lieu d'entrer en matière.</w:t>
      </w:r>
    </w:p>
    <w:p>
      <w:r>
        <w:rPr>
          <w:b/>
        </w:rPr>
        <w:t>E. 2</w:t>
      </w:r>
    </w:p>
    <w:p>
      <w:r>
        <w:t>Le litige porte sur la question de savoir si le MP-GE a ordonné à juste titre la transmission à l’autorité requérante des pièces relatives à la documentation bancaire des comptes de A. et des sociétés B. LTD, C. LTD, D. LTD, E. OÜ, F. LTD, G. LTD et H. LTD (cf. décision de clôture du 17 septembre 2019).</w:t>
      </w:r>
    </w:p>
    <w:p>
      <w:r>
        <w:rPr>
          <w:b/>
        </w:rPr>
        <w:t>E. 3.1</w:t>
      </w:r>
    </w:p>
    <w:p>
      <w:r>
        <w:t>Les parties recourantes se prévalent d’une violation du principe de la double incrimination (act. 1 nos 73 - 94).</w:t>
      </w:r>
    </w:p>
    <w:p>
      <w:r>
        <w:rPr>
          <w:b/>
        </w:rPr>
        <w:t>E. 3.2.1</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4b/cc; 122 II 422 consid. 2a; 118 Ib 448 consid. 3a et les arrêts cités; arrêt du Tribunal fédéral</w:t>
      </w:r>
    </w:p>
    <w:p>
      <w:r>
        <w:t>- 7 -</w:t>
      </w:r>
    </w:p>
    <w:p>
      <w:r>
        <w:t>1C_123/2007 du 25 mai 2007 consid. 1.3). Lorsqu'une autorité suisse est saisie d'une requête d'entraide en matière pénale, elle n'a pas à se prononcer sur la réalité des faits évoqués dans celle-ci puisqu'elle ne peut que déterminer si, tels qu'ils sont présentés, ils constituent une infraction. Elle ne peut s'écarter des faits décrits par l'État requérant qu'en cas d'erreurs, lacunes ou contradictions évidentes et immédiatement établies (ATF 126 II 495 consid. 5e/aa; 118 Ib 111 consid. 5b; 107 Ib 264 consid. 3a; arrêt du Tribunal pénal fédéral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du</w:t>
      </w:r>
    </w:p>
    <w:p>
      <w:r>
        <w:rPr>
          <w:b/>
        </w:rPr>
        <w:t>E. 3.2.2</w:t>
      </w:r>
    </w:p>
    <w:p>
      <w:r>
        <w:t>En ce qui concerne plus particulièrement la remise de documents bancaires, il s'agit d'une mesure de contrainte au sens de l'art. 63 al. 2 let. c EIMP. Elle ne peut être ordonnée, selon l'art. 64 al. 1 EIMP mis en relation avec la réserve faite par la Suisse à l'art. 5 ch. 1 let. a CEEJ, que si l'état de fait exposé dans la demande correspond, prima facie, aux éléments constitutifs d'une infraction réprimée en droit suisse. L'examen de la punissabilité selon le droit helvétique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arrêts cités; arrêt du Tribunal fédéral 1A.205/2006 du 7 décembre 2006 consid. 3.1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 La condition de la double incrimination s'examine selon le droit en vigueur dans l'État requis au moment où est prise la décision relative à la coopération, et non selon celui en vigueur au moment de la commission de l'éventuelle infraction</w:t>
      </w:r>
    </w:p>
    <w:p>
      <w:r>
        <w:t>- 8 -</w:t>
      </w:r>
    </w:p>
    <w:p>
      <w:r>
        <w:t>ou à la date de la commission rogatoire (ATF 129 II 462 consid. 4.3; 122 II 422 consid. 2a; 112 Ib 576 consid. 2; arrêt du Tribunal fédéral 1A.96/2003 du 25 juin 2003 consid. 2.2; arrêts du Tribunal pénal fédéral RR.2012.262- 263 du 28 juin 2013 consid. 2.1; RR.2011.246 du 30 novembre 2011 consid. 3.2; RR.2007.178 du 29 novembre 2007 consid. 4.3; v. ég. ZIMMERMANN, La coopération judiciaire internationale en matière pénale, 5ème éd. 2019, no 581, p. 622 s.).</w:t>
      </w:r>
    </w:p>
    <w:p>
      <w:r>
        <w:rPr>
          <w:b/>
        </w:rPr>
        <w:t>E. 3.3.1</w:t>
      </w:r>
    </w:p>
    <w:p>
      <w:r>
        <w:t>En l’espèce, les enquêtes menées par les autorités fiscales en Italie ont mis en évidence des problèmes importants en lien avec le prêt entre I. et C. LTD à hauteur de EUR 10 millions et avec un second prêt de EUR 1.5 millions. Selon les enquêtes menées, la documentation comptable et les contrats utilisés par les suspects pour justifier ces mouvements bancaires sont faux et créés spécifiquement à cette fin. La justification comptable de ces transactions visait à éviter les taxes prévues par le système national et international. Il ressort des enquêtes que, par l’utilisation de compte courant en Suisse, ces sommes importantes ont été transférées vers la société I. (et non C. LTD, comme retenu par erreur par l’autorité inférieure) – en cachant son origine réelle –, puis vers l’Italie.</w:t>
      </w:r>
    </w:p>
    <w:p>
      <w:r>
        <w:rPr>
          <w:b/>
        </w:rPr>
        <w:t>E. 3.3.2</w:t>
      </w:r>
    </w:p>
    <w:p>
      <w:r>
        <w:t>Ainsi, au vu de ces éléments, il apparaît que des infractions de faux dans les titres (art. 251 CP) auraient été commises. En outre, tel qu’il ressort de la demande d’entraide, la provenance des sommes litigieuses est entravée par les transferts financiers opérés entre les différentes sociétés par l’intermédiaire de comptes bancaires en Suisse. Les manœuvres visant à dissimuler le lien de provenance ou l’appartenance réelle des biens, en vue d’un blanchiment d’argent, peuvent être accomplies, entre autres, en transférant de l’argent à l’étranger par un virement bancaire (cf. arrêt du Tribunal pénal fédéral RR.2019.172+173 du 28 janvier 2020 consid. 4.4.1). Quant à la preuve de l’infraction préalable, l’autorité requérante ne doit pas nécessairement l’apporter; un simple soupçon considéré objectivement suffit pour l'octroi de la coopération sous l'angle de la double incrimination. La Suisse doit ainsi pouvoir accorder sa collaboration lorsque le soupçon de blanchiment est uniquement fondé sur l'existence de transactions suspectes, des exemples typiques étant ceux de transactions dénuées de justification apparente ou en utilisant de nombreuses sociétés réparties dans plusieurs pays (cf. arrêt RR.2019.172+173 précité consid. 4.4.2). Au vu du stade de l’enquête menée par l’autorité italienne et les éléments donnés, une telle condition est en l’espèce remplie. Même si les explications données par les parties recourantes permettent d’éclairer les raisons pour lesquelles l’origine des fonds serait licite (à savoir dividendes versés à B. LTD par D. LTD, cette dernière étant active dans le négoce de produits pétroliers et a réalisé en</w:t>
      </w:r>
    </w:p>
    <w:p>
      <w:r>
        <w:t>- 9 -</w:t>
      </w:r>
    </w:p>
    <w:p>
      <w:r>
        <w:t>2016 un profit de l’ordre d’USD 140 millions; act. 1, nos 47 - 54) ainsi que de renseigner, notamment au moyen de schéma, sur les flux financiers litigieux (soit de manière générale un prêt accordé par C. LTD à A., puis un prêt de A. à I.; act. 1 nos 46 et 65), il appartient aux autorités de poursuite pénales italiennes d’en décider.</w:t>
      </w:r>
    </w:p>
    <w:p>
      <w:r>
        <w:rPr>
          <w:b/>
        </w:rPr>
        <w:t>E. 3.3.3</w:t>
      </w:r>
    </w:p>
    <w:p>
      <w:r>
        <w:t>En l’occurrence, à première vue, et non après un examen détaillé des éléments objectifs constitutifs de chaque infraction potentiellement réalisée en vertu du droit suisse, il apparaît que les faits développés par l’autorité requérante relèvent, notamment, de faux dans les titres et de blanchiment d’argent. Il sied de rappeler qu'en matière d'entraide la réalisation prima facie d'une seule de ces deux dispositions pénales suffit déjà pour admettre la condition de la double punissabilité (v. supra consid. 3.2.2). N’est pas pertinent pour admettre l’entraide l’argument soulevé par les parties recourantes selon lequel la Suisse doit également mener une enquête pénale ou que les fonds litigieux se trouvant en Suisse n’ont pas justifié l’ouverture d’une telle enquête par les autorités de ce pays.</w:t>
      </w:r>
    </w:p>
    <w:p>
      <w:r>
        <w:rPr>
          <w:b/>
        </w:rPr>
        <w:t>E. 3.4</w:t>
      </w:r>
    </w:p>
    <w:p>
      <w:r>
        <w:t>Au vu de ce qui précède, il convient de rejeter le grief de violation du principe de la double incrimination soulevé par les parties recourantes.</w:t>
      </w:r>
    </w:p>
    <w:p>
      <w:r>
        <w:t>4.</w:t>
      </w:r>
    </w:p>
    <w:p>
      <w:r>
        <w:t>4.1 Dans un second grief subsidiaire, les parties recourantes soulèvent que la transmission de la documentation bancaire viole le principe de la proportionnalité. En effet, la documentation bancaire relative aux comptes des sociétés D. LTD, E. OÜ, F. LTD, G. LTD et H. LTD n’a pas de rapport avec les mouvements de fonds évoqués par l’autorité italienne, ni n’a même été demandé par celle-ci. En effet, le MP-GE a élargi de son propre chef le champ de l’entraide (act. 1, nos 95 - 105).</w:t>
      </w:r>
    </w:p>
    <w:p>
      <w:r>
        <w:t>4.2</w:t>
      </w:r>
    </w:p>
    <w:p>
      <w:r>
        <w:t>4.2.1 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w:t>
      </w:r>
    </w:p>
    <w:p>
      <w:r>
        <w:t>- 10 -</w:t>
      </w:r>
    </w:p>
    <w:p>
      <w:r>
        <w:t>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RR.2015.314 du 24 février 2016 consid. 2.2; RR.2010.173 du 13 octobre 2010 consid. 4.2.4/a; RR.2009.320 du 2 février 2010 consid. 4.1; ZIMMERMANN, op. cit., no 723 s.).</w:t>
      </w:r>
    </w:p>
    <w:p>
      <w:r>
        <w:t>4.2.2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RR.2013.231 du 23 octobre 2013 consid. 4.1 et les références citées; RR.2008.287 du 9 avril 2009 consid. 2.2.4 et la jurisprudence citée).</w:t>
      </w:r>
    </w:p>
    <w:p>
      <w:r>
        <w:t>4.2.3 S'agissant de demandes relatives à des informations bancaires, il convient en principe de transmettre tous les documents qui peuvent faire référence au soupçon exposé dans la demande d'entraide; il doit exister un lien de</w:t>
      </w:r>
    </w:p>
    <w:p>
      <w:r>
        <w:t>- 11 -</w:t>
      </w:r>
    </w:p>
    <w:p>
      <w:r>
        <w:t>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arrêt du Tribunal fédéral 1A.249/2006 du 26 janvier 2007 consid. 4.2).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6</w:t>
      </w:r>
    </w:p>
    <w:p>
      <w:r>
        <w:t>janvier 2020 consid. 3.2 et la référence citée).</w:t>
      </w:r>
    </w:p>
    <w:p>
      <w:r>
        <w:rPr>
          <w:b/>
        </w:rPr>
        <w:t>E. 9</w:t>
      </w:r>
    </w:p>
    <w:p>
      <w:r>
        <w:t>mai 2018 consid. 4.2).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r>
        <w:t>4.3</w:t>
      </w:r>
    </w:p>
    <w:p>
      <w:r>
        <w:t>4.3.1 En l’espèce, en ce qu’il concerne A. et les sociétés B. LTD et C. LTD, ceux- ci sont directement mentionnés dans la commission rogatoire de l’autorité requérante. Il n'apparaît donc pas disproportionné, mais au contraire conforme au principe de l‘utilité potentielle que les documents bancaires de ces entités soient transmis comme moyens de preuve à l’autorité requérante. En effet, ces renseignements concernent, de près ou de loin, l'infraction sous enquête et sont propres à éclairer l'enquête étrangère (supra consid. 4.2).</w:t>
      </w:r>
    </w:p>
    <w:p>
      <w:r>
        <w:t>4.3.2 Par rapport aux sociétés D LTD, E. OÜ, F. LTD, G. LTD et H. LTD, leurs noms ou leurs comptes bancaires ne ressortent pas directement de la commission rogatoire italienne. Néanmoins, il sied de souligner que la demande d’entraide a été formée par l’autorité requérante, dans le cadre d’une enquête pour blanchiment ayant pour but, notamment, d’évaluer de manière exhaustive le flux de capitaux injecté en Italie, d’identifier les personnes autorisées à effectuer des opérations sur les comptes courants et par conséquent les origines et la provenance exactes de ces capitaux aux</w:t>
      </w:r>
    </w:p>
    <w:p>
      <w:r>
        <w:t>- 12 -</w:t>
      </w:r>
    </w:p>
    <w:p>
      <w:r>
        <w:t>fins d’établir la preuve du délit de blanchiment de capitaux (act. 1.3, p. 5). Il a été expliqué que les suspects et leurs complices peuvent ouvrir et fermer rapidement des sociétés ainsi que des comptes courants et faire transiter d’énorme quantité de capitaux, de manière telle à masquer la traçabilité de l’origine des capitaux et la surveillance des flux (act. 1.3, p. 7). En l’occurrence, A. – directement visé par la commission rogatoire – est l’ayant droit économique des relations bancaires ouvertes aux noms des sociétés concernées. La documentation transmise permettra, notamment, à l’autorité italienne d'examiner si des fonds délictueux sont passés par ces comptes bancaires. De plus, quant à la société D. LTD en particulier, les parties recourantes ont fait part que dite société, active dans le négoce de produits pétroliers, avait versé entre 2015 et 2017 des dividendes à hauteur de EUR 107'424'842.-- à B. LTD, dont la documentation bancaire est requise par l’autorité italienne (act. 1 nos 47, 49, 50 et 51). Par conséquent, la transmission des pièces bancaires relatives à D. LTD permettra à l’autorité requérante de reconstruire le flux de capitaux, comme elle l’a elle-même requis. Tel que soulevé par le MP-GE, des informations manifestement utiles à l’autorité requérante peuvent aussi être transmises pour éviter à cette autorité de prendre connaissance d’un premier lot de pièces d’exécution, puis de décerner un complément de commission rogatoire. Partant, il existe un lien de connexité suffisant qui justifie de transmettre les informations bancaires concernant les parties recourantes à l’autorité italienne, ces informations étant susceptibles d'éclairer l'enquête qu'elle mène. Enfin, et par surabondance, il convient de relever que la transmission d'informations dans le domaine de l'entraide internationale, n'a pas pour seul objectif d'aider l'État requérant à prouver les faits qu'il a déjà découverts, mais également d'en dévoiler, s'ils existent, des nouveaux faits, informations ou moyens de preuve, que ce soit à charge ou à décharge (v. supra consid. 4.2.2). Dans ces circonstances, c'est à juste titre que l'autorité d'exécution, en application du principe de l'utilité potentielle rappelé ci-avant, a décidé de transmettre la documentation bancaire relative également aux sociétés D. LTD, E. OÜ, F. LTD, G. LTD et H. LTD à l’autorité italienne.</w:t>
      </w:r>
    </w:p>
    <w:p>
      <w:r>
        <w:t>4.4 Le principe de la proportionnalité n'a donc pas été violé. Mal fondé ce grief doit être rejeté.</w:t>
      </w:r>
    </w:p>
    <w:p>
      <w:r>
        <w:t>5. Au vu de ce qui précède, le recours doit être rejeté.</w:t>
      </w:r>
    </w:p>
    <w:p>
      <w:r>
        <w:t>6. Vu l’issue du litige, Ies frais de procédure comprenant l’émolument d’arrêté, les émoluments de chancellerie et les débours seront mis à la charge des parties recourantes qui succombent (cf. art. 63 al. 1 PA, applicable par renvoi</w:t>
      </w:r>
    </w:p>
    <w:p>
      <w:r>
        <w:t>- 13 -</w:t>
      </w:r>
    </w:p>
    <w:p>
      <w:r>
        <w:t>de l’art. 39 al. 2 let. b LOAP). En application des art. 73 al. 2 LOAP et 8 al. 3 du règlement du Tribunal pénal fédéral sur les frais, émoluments, dépens et indemnités de la procédure pénale fédérale (RFPPF; RS 173.713.162), compte tenu de l’ampleur et de la difficulté de la cause, de la façon de procéder des parties, de leur situation financière et des frais de chancellerie, les intéressés supporteront solidairement Ies frais du présent arrêt, lesquels sont fixés à CHF 10’000.--. Ce montant est entièrement couvert par l’avance de frais versée par les parties recourantes au Tribunal pénal fédéral (cf. act. 3 à 6).</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