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RR.2019.258 vom 29. Oktober 2019</w:t>
      </w:r>
    </w:p>
    <w:p>
      <w:r>
        <w:t>Bundesstrafgericht, 2019-10-29, DE</w:t>
      </w:r>
    </w:p>
    <w:p>
      <w:r>
        <w:rPr>
          <w:b/>
        </w:rPr>
        <w:t xml:space="preserve">Quelle: </w:t>
      </w:r>
      <w:r>
        <w:t>https://mcp.opencaselaw.ch/entscheid/bstger_RR.2019.258</w:t>
      </w:r>
    </w:p>
    <w:p>
      <w:r>
        <w:t>FR: TPF RR.2019.258 du 29 octobre 2019</w:t>
      </w:r>
    </w:p>
    <w:p>
      <w:r>
        <w:t>IT: TPF RR.2019.258 del 29 ottobre 2019</w:t>
      </w:r>
    </w:p>
    <w:p>
      <w:pPr>
        <w:pStyle w:val="Heading2"/>
      </w:pPr>
      <w:r>
        <w:t>Regeste</w:t>
      </w:r>
    </w:p>
    <w:p>
      <w:r>
        <w:t>Auslieferung an Kroatien. Auslieferungsentscheid (Art. 55 IRSG).</w:t>
      </w:r>
    </w:p>
    <w:p>
      <w:pPr>
        <w:pStyle w:val="Heading2"/>
      </w:pPr>
      <w:r>
        <w:t>Erwägungen</w:t>
      </w:r>
    </w:p>
    <w:p>
      <w:r>
        <w:rPr>
          <w:b/>
        </w:rPr>
        <w:t>E. 1.1</w:t>
      </w:r>
    </w:p>
    <w:p>
      <w:r>
        <w:t>Für den Auslieferungsverkehr zwischen der Schweiz und Kroatien sind pri- mär das Europäische Auslieferungsübereinkommen vom 13. Dezember 1957 (EAUe; SR 0.353.1) sowie das zu diesem Übereinkommen am 15. Ok- tober 1975 ergangene erste Zusatzprotokoll (1. ZP; SR 0.353.11) und das am 17. März 1978 ergangene zweite Zusatzprotokoll (2. ZP; SR 0.353.12) massgebend.</w:t>
      </w:r>
    </w:p>
    <w:p>
      <w:r>
        <w:rPr>
          <w:b/>
        </w:rPr>
        <w:t>E. 1.2</w:t>
      </w:r>
    </w:p>
    <w:p>
      <w:r>
        <w:t>Soweit diese Staatsverträge bestimmte Fragen nicht abschliessend regeln, findet auf das Verfahren der Auslieferung ausschliesslich das Recht des er- suchten Staates Anwendung (Art. 22 EAUe), vorliegend also das Rechtshil- fegesetz und die Verordnung vom 24. Februar 1982 über internationale Rechtshilfe in Strafsachen (Rechtshilfeverordnung, IRSV; SR 351.11). Das innerstaatliche Recht gelangt nach dem Günstigkeitsprinzip auch dann zur Anwendung, wenn dieses geringere Anforderungen an die Auslieferung stellt (BGE 142 IV 250 E. 3; 140 IV 123 E. 2 S. 126; 137 IV 33 E. 2.2.2 S. 40 f.; jeweils m.w.H.). Vorbehalten bleibt die Wahrung der Menschenrechte (BGE 135 IV 212 E. 2.3; 123 II 595 E. 7c S. 617; TPF 2016 65 E. 1.2).</w:t>
      </w:r>
    </w:p>
    <w:p>
      <w:r>
        <w:rPr>
          <w:b/>
        </w:rPr>
        <w:t>E. 1.3</w:t>
      </w:r>
    </w:p>
    <w:p>
      <w:r>
        <w:t>Bestimmt es das IRSG nicht anders, so sind auf das Beschwerdeverfahren in internationalen Rechtshilfeangelegenheiten zudem die Bestimmungen des Bundesgesetzes vom 20. Dezember 1968 über das Verwaltungsverfah- ren (Verwaltungsverfahrensgesetz, VwVG; SR 172.021) anwendbar (Art. 39 Abs. 2 lit. b i.V.m. Art. 37 Abs. 2 lit. a StBOG; Art. 12 Abs. 1 IRSG).</w:t>
      </w:r>
    </w:p>
    <w:p>
      <w:r>
        <w:rPr>
          <w:b/>
        </w:rPr>
        <w:t>E. 2.1</w:t>
      </w:r>
    </w:p>
    <w:p>
      <w:r>
        <w:t>Gegen Auslieferungsentscheide des Bundesamtes kann innert 30 Tagen seit der Eröffnung des Entscheides bei der Beschwerdekammer des Bun- desstrafgerichts Beschwerde geführt werden (Art. 55 Abs. 3 i.V.m. Art. 25 Abs. 1 IRSG; Art. 37 Abs. 2 lit. a Ziff. 1 des Bundesgesetzes vom 19. März 2010 über die Organisation der Strafbehörden des Bundes [StBOG; SR 173.71]).</w:t>
      </w:r>
    </w:p>
    <w:p>
      <w:r>
        <w:rPr>
          <w:b/>
        </w:rPr>
        <w:t>E. 2.2</w:t>
      </w:r>
    </w:p>
    <w:p>
      <w:r>
        <w:t>Die Beschwerde vom 8. Oktober 2019 gegen den Auslieferungsentscheid vom 6. September 2019 (eröffnet am 9. September 2019; act. 4.8) wurde fristgerecht erhoben, weshalb darauf einzutreten ist.</w:t>
      </w:r>
    </w:p>
    <w:p>
      <w:r>
        <w:t>- 6 -</w:t>
      </w:r>
    </w:p>
    <w:p>
      <w:r>
        <w:rPr>
          <w:b/>
        </w:rPr>
        <w:t>E. 3.1</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 Entscheid des Bundesstrafgerichts RR.2013.357 vom 26. Februar 2014 E. 3).</w:t>
      </w:r>
    </w:p>
    <w:p>
      <w:r>
        <w:rPr>
          <w:b/>
        </w:rPr>
        <w:t>E. 3.2</w:t>
      </w:r>
    </w:p>
    <w:p>
      <w:r>
        <w:t>Ebenso wenig muss sich die urteilende Instanz nach der bundesgerichtli- chen Rechtsprechung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4.1</w:t>
      </w:r>
    </w:p>
    <w:p>
      <w:r>
        <w:t>Der Beschwerdeführer bringt in einem ersten Punkt vor, es müsse vorliegend davon ausgegangen werden, dass das kroatische Ermittlungsverfahren nicht rechtmässig war und ist und dass die Verteidigungsrechte des Beschwerde- führers zudem in unzulässiger Weise eingeschränkt werden (act. 1 S. 5).</w:t>
      </w:r>
    </w:p>
    <w:p>
      <w:r>
        <w:t>Zur Begründung beruft er sich auf zwei Urteile des EGMR (i.S. Metanovic gegen Kroatien vom 4. Juli 2017 und i.S. Grba gegen Kroatien vom 23. No- vember 2017), welche sich auf zwei Straf- inkl. Rechtsmittelverfahren aus den Jahren 2006 bis 2012 bzw. 2008 bis 2012 in Kroatien beziehen. Der EGMR habe die beurteilten Massnahmen als nicht EMRK-konform gerügt, insbesondere betreffend die Einsetzung von verdeckten Ermittlern mit invol- vierten Informanten und der Überwachung des Telefons. Nach Ansicht des Beschwerdeführers seien die Parallelen der beiden kroatischen Strafverfah- ren zum vorliegenden Verfahren gegen ihn betreffend die verdeckten Ermitt- lungen und geheimen Überwachungen als offensichtlich zu bezeichnen (act. 1 S. 4). Auch im vorliegenden Verfahren seien die Ermittlungen der kro- atischen Behörden in identischer Vorgehensweise geführt worden. Die Fälle aus dem Jahre 2017 veranschaulichen nach Ansicht des Beschwerdefüh- rers, dass vorliegend Zweifel an der Fairness des konkreten kroatischen Ver- fahrens bestünden und entsprechende Anhaltspunkte für die Verletzung von EMRK-Rechten ohne Weiteres vorlägen (act. 1 S. 5). Der Beschwerdegeg- ner habe entgegen seiner Abklärungspflicht nicht näher abgeklärt, ob sich</w:t>
      </w:r>
    </w:p>
    <w:p>
      <w:r>
        <w:t>- 7 -</w:t>
      </w:r>
    </w:p>
    <w:p>
      <w:r>
        <w:t>gestützt auf die Urteile des EGMR in Kroatien etwas geändert hätte (act. 1 S. 5). Dieser Umstand lege den Schluss nahe, so der Beschwerdeführer weiter, dass ihm kein faires Verfahren garantiert werde. Gemäss Auskunft „eines kroatischen Anwaltes“ versuche Kroatien sich gegenüber der EU als Hardli- ner im Kampf gegen die Korruption etc. zu positionieren. Dies lasse darauf schliessen, dass ihm in Kroatien kein faires Verfahren garantiert werden könne. Vielmehr müsse bereits jetzt von einer (Vor-)Verurteilung ausgegan- gen werden. Auf medialer Ebene werde ein ungeheurer Druck aufgebaut, dass er mit der Höchststrafe verurteilt werden müsse (act. 1 S. 6). Es seien somit nach der bundesgerichtlichen Rechtsprechung zwingend die vorgängigen und spezifischen Zusicherungen bzw. Auflagen hinsichtlich der Einhaltung von Art. 6 und 8 EMRK von den kroatischen Behörden zu fordern (act. 1 S. 7). Im Weiteren könne er auch nur dann ausgeliefert werden, wenn Kroatien die entsprechenden strafrechtlichen Verfahrensbestimmungen angepasst habe (act. 1 S. 7).</w:t>
      </w:r>
    </w:p>
    <w:p>
      <w:r>
        <w:rPr>
          <w:b/>
        </w:rPr>
        <w:t>E. 4.2</w:t>
      </w:r>
    </w:p>
    <w:p>
      <w:r>
        <w:t>Der Beschwerdeführer erläutert in einem nächsten Punkt seine gesundheit- lichen Probleme (Harnblasenkarzinom, Eisenmangelanämie; act. 1 S. 8 ff.) und erklärt, dass er auf eine entsprechende professionelle medizinische Ver- sorgung und ein entsprechendes Umfeld zwingend und dringend angewie- sen sei (act. 1 S. 10). Die kroatischen Gefängnis- und Haftbedingungen seien in diverser Hinsicht problematisch und würden mit Blick auf die Ge- sundheit des Beschwerdeführers seiner Auslieferung entgegenstehen. Sei- ne Auslieferung würde nur dann nicht gegen Art. 3 und 8 EMRK verstossen, wenn Kroatien explizit zusichere, dass die Überführung in eine den ärztlichen Vorgaben entsprechende, geeignete Klinik erfolge. Als zwingende Voraus- setzung erachtet er, dass der Beschwerdegegner auf die aktuellen schwer- wiegenden gesundheitlichen Probleme des Beschwerdeführers hinweise und entsprechend auch ein aktuelles ärztliches Gutachten zu seinem Ge- sundheitszustand und seiner medizinischen Versorgung/Betreuung übermit- telt werde (act. 1 S. 10). Seine Therapie dürfe durch die Auslieferung in keinster Weise gefährdet werden (act. 1 S. 11).</w:t>
      </w:r>
    </w:p>
    <w:p>
      <w:r>
        <w:rPr>
          <w:b/>
        </w:rPr>
        <w:t>E. 4.3</w:t>
      </w:r>
    </w:p>
    <w:p>
      <w:r>
        <w:t>Die Schweiz prüft die Auslieferungsvoraussetzungen des EAUe auch unter dem Blickwinkel ihrer grundrechtlichen völkerrechtlichen Verpflichtungen (vgl. Art. 2 IRSG). Gemäss Art. 2 lit. a IRSG wird einem Ersuchen um Zu-</w:t>
      </w:r>
    </w:p>
    <w:p>
      <w:r>
        <w:t>- 8 -</w:t>
      </w:r>
    </w:p>
    <w:p>
      <w:r>
        <w:t>sammenarbeit in Strafsachen nicht entsprochen, wenn Gründe für die An- nahme bestehen, dass das Verfahren im Ausland den in der EMRK oder im Internationalen Pakt vom 16. Dezember 1966 über bürgerliche und politische Rechte (UNO-Pakt II; SR 0.103.2) festgelegten Verfahrensgrundsätzen nicht entspricht. Art. 2 IRSG soll verhindern, dass die Schweiz die Durchführung von Strafverfahren oder den Vollzug von Strafen unterstützt, in welchen den Personen die ihnen in einem Rechtsstaat zustehenden und insbesondere durch die EMRK und den UNO-Pakt II umschriebenen Minimalgarantien nicht gewährt werden oder welche den internationalen Ordre public verletzen (BGE 130 II 217 E. 8.1 S. 227; 129 II 268 E. 6.1 A. 271, je m.w.H.). Aus dieser Zielsetzung ergibt sich, dass einzelne Verfahrensverstösse im aus- ländischen Untersuchungsverfahren für sich allein nicht genügen, um die Rechtshilfe auszuschliessen; es ist in erster Linie Aufgabe der Rechtsmit- telinstanzen des ersuchenden Staates, solche Verfahrensfehler zu korrigie- ren und sicherzustellen, dass dem Beschuldigten trotzdem ein faires Straf- verfahren garantiert wird. Der Ausschluss der Rechtshilfe rechtfertigt sich nur, wenn das ausländische Strafverfahren insgesamt die durch die EMRK und den UNO-Pakt II umschriebenen Minimalgarantien nicht erfüllt (Urteil des Bundesgerichts 1A.226/2000 vom 6. November 2000 E. 3b). Nach internationalem Völkerrecht sind Folter und jede andere Art grausa- mer, unmenschlicher oder erniedrigender Behandlung oder Bestrafung ver- boten (Art. 10 Abs. 3 BV; Art. 3 EMRK, Art. 7 und 10 Ziff. 1 UNO-Pakt II [SR 0.103.2]). Die Haftbedingungen dürfen nicht unmenschlich oder ernied- rigend im Sinne von Art. 3 EMRK sein; die physische und psychische Integ- rität der ausgelieferten Person muss gewahrt sein (vgl. auch Art. 7, 10 und 17 des UNO Pakts II). Die Gesundheit des Häftlings muss in angemessener Weise sichergestellt werden, insbesondere mittels Zugang zu genügender medizinischer Versorgung. Die Auslieferung ist abzulehnen, wenn ernstliche Gründe für die Annahme bestehen, der Auszuliefernde werde im ersuchen- den Staat ohne genügende medizinische Versorgung in einer sein Leben oder seine Gesundheit schwer gefährdenden Weise inhaftiert werden, was eine unmenschliche Behandlung i.S.v. Art. 3 EMRK darstellen würde (vgl. Urteil des EGMR i.S. McGlinchey gegen Vereinigtes Königreich vom 29. Ap- ril 2003, Ziff. 47-58; i.S. Mouisel gegen Frankreich vom 14. November 2002, Recueil CourEDH 2002-IX S. 191, Ziff. 36 - 48). 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w:t>
      </w:r>
    </w:p>
    <w:p>
      <w:r>
        <w:t>- 9 -</w:t>
      </w:r>
    </w:p>
    <w:p>
      <w:r>
        <w:t>Vorbringen im Einzelnen präzisieren (Urteil des Bundesgerichts 1A.210/1999 vom 12. Dezember 1999 E. 8b). Darüber hinaus sehen weder das EAUe noch das IRSG die Möglichkeit vor, eine Auslieferung aus gesundheitlichen Gründen zu verweigern. Weder die Schweiz noch Kroatien haben einen entsprechenden Vorbehalt zum EAUe gemacht. Nach ständiger Rechtsprechung kann daher ein Auslieferungser- suchen grundsätzlich nicht wegen des schlechten Gesundheitszustands der auszuliefernden Person abgelehnt werden (Urteil des Bundesgerichts 1C_433/2019 vom 2. September 2019 E. 2.1 mit Hinweisen). Es ist Sache des ersuchenden Staates dafür zu sorgen, dass die auszuliefernde Person eine angemessene medizinische Behandlung bekommt und ihrem Gesund- heitszustand entsprechend untergebracht oder allenfalls, mangels Hafterste- hungsfähigkeit, aus der Haft entlassen wird (vgl. nicht veröffentlichte E. 8 von BGE 129 II 56; Urteil des Bundesgerichts 1A.116/2003 vom 26. Juni 2003 E. 2.1 mit Hinweisen).</w:t>
      </w:r>
    </w:p>
    <w:p>
      <w:r>
        <w:rPr>
          <w:b/>
        </w:rPr>
        <w:t>E. 4.4</w:t>
      </w:r>
    </w:p>
    <w:p>
      <w:r>
        <w:t>Nach dem völkerrechtlichen Vertrauensprinzip wird vermutet, dass ein Staat wie Kroatien, welcher die EMRK, den UNO-Pakt II, die UNO-Folterschutz- konvention (SR 0.105) und das Europäische Übereinkommen zur Verhütung von Folter und unmenschlicher oder erniedrigender Behandlung oder Strafe (SR 0.106) ratifiziert hat, ein Mitgliedsstaat der Europäischen Union ist und mit der Schweiz durch das EAUe verbunden ist, seine völkerrechtlichen Ver- pflichtungen wahrnimmt (Urteile des Bundesgerichts 1C_9/2015 vom 8. Ja- nuar 2015 E. 1.3; 1C_260/2013 vom 19. März 2013 E. 1.4; Entscheid des Bundesstrafgerichts RR.2018.72 vom 29. März 2018 E. 5.4; jeweils m.w.H.). Dabei betont der Beschwerdegegner, dass aus dem bisherigen Ausliefe- rungsverkehr mit Kroatien keine Fälle bekannt seien, in denen dort Verlet- zungen der vorgenannten Konventionen erfolgt wären (act. 4.7 S. 6). Etwas Anderes wird vom Beschwerdeführer auch nicht behauptet. Soweit sich der Beschwerdeführer auf die zwei Kroatien betreffenden Urteile des EGMR be- ruft, vermag er damit nicht im Ansatz glaubhaft zu machen, dass das kroati- sche Strafverfahren insgesamt die durch die EMRK und den UNO-Pakt II umschriebenen Minimalgarantien nicht erfüllt. Die befürchteten Verletzungen seiner Verfahrensrechte vermöchten, selbst wenn glaubhaft gemacht, den Ausschluss der Auslieferung nicht zu rechtfertigen. Vielmehr ist von einem wirksamen Rechtsschutz in Kroatien auszugehen; der Beschwerdeführer kann allfällige Verletzungen seiner Verfahrensrechte in Kroatien vor den übergeordneten Instanzen und gegebenenfalls beim Europäischen Gerichts- hof für Menschenrechte rügen. Es ist nach dem Gesagten gestützt auf das völkerrechtliche Vertrauensprinzip davon auszugehen, dass das kroatische</w:t>
      </w:r>
    </w:p>
    <w:p>
      <w:r>
        <w:t>- 10 -</w:t>
      </w:r>
    </w:p>
    <w:p>
      <w:r>
        <w:t>Strafverfahren insgesamt die durch die EMRK und den UNO-Pakt II um- schriebenen Minimalgarantien erfüllt.</w:t>
      </w:r>
    </w:p>
    <w:p>
      <w:r>
        <w:rPr>
          <w:b/>
        </w:rPr>
        <w:t>E. 4.5</w:t>
      </w:r>
    </w:p>
    <w:p>
      <w:r>
        <w:t>Was die medizinische Betreuung im Strafvollzug anbelangt, zeigte der Be- schwerdeführer ebenfalls nicht auf, dass die kroatischen Behörden mit Blick auf den von ihm geltend gemachten Gesundheitszustand ihrer Pflicht nicht nachkommen würden. Solches ist auch nicht ersichtlich. Es bestehen keine ernstlichen Gründe für die Annahme, dass der Beschwerdeführer im ersu- chenden Staat ohne genügende medizinische Versorgung in einer sein Le- ben oder seine Gesundheit schwer gefährdenden Weise inhaftiert werde. Zu Recht erachtet der Beschwerdegegner die Einholung von expliziten Zusiche- rung hiefür als nicht notwendig (act. 4.7 S. 7). Der Beschwerdegegner si- cherte im Auslieferungsentscheid dem Beschwerdeführer im Falle dessen Auslieferung bereits explizit zu, die ersuchende Behörde auf die gesundheit- lichen Probleme des Beschwerdeführers hinzuweisen, und, falls er dies wün- sche, ein aktuelles ärztliches Gutachten zu übermitteln (act. 4.7 S. 7).</w:t>
      </w:r>
    </w:p>
    <w:p>
      <w:r>
        <w:rPr>
          <w:b/>
        </w:rPr>
        <w:t>E. 4.6</w:t>
      </w:r>
    </w:p>
    <w:p>
      <w:r>
        <w:t>Die vorgenannten Rügen des Beschwerdeführers sind daher offensichtlich unbegründet. Die Auslieferung des Beschwerdeführers an Kroatien ist daher zulässig.</w:t>
      </w:r>
    </w:p>
    <w:p>
      <w:r>
        <w:rPr>
          <w:b/>
        </w:rPr>
        <w:t>E. 5</w:t>
      </w:r>
    </w:p>
    <w:p>
      <w:r>
        <w:t>Die Beschwerde ist nach dem Gesagten abzuweisen.</w:t>
      </w:r>
    </w:p>
    <w:p>
      <w:r>
        <w:rPr>
          <w:b/>
        </w:rPr>
        <w:t>E. 6.1</w:t>
      </w:r>
    </w:p>
    <w:p>
      <w:r>
        <w:t>Der Beschwerdeführer beantragt die Gewährung der unentgeltlichen Pro- zessführung und Rechtsvertretung (RP.2019.51, act. 1 S. 2). Zur Begrün- dung lässt er u.a. vorbringen, dass die Herkunft all seiner Gelder bzw. sein Vermögen Gegenstand des Strafverfahrens sei, weshalb diesbezüglich alles unklar sei. Es sei ohne weiteres möglich, dass sämtliche Gelder bzw. die Vermögenswerte deliktischer Herkunft seien, weshalb es von seinen Rechts- vertretern auch gar nicht entgegengenommen werden könne (RP.2019.51, act. 3).</w:t>
      </w:r>
    </w:p>
    <w:p>
      <w:r>
        <w:rPr>
          <w:b/>
        </w:rPr>
        <w:t>E. 6.2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w:t>
      </w:r>
    </w:p>
    <w:p>
      <w:r>
        <w:t>- 11 -</w:t>
      </w:r>
    </w:p>
    <w:p>
      <w:r>
        <w:t>Diese Regelung ist Ausfluss von Art. 29 Abs. 3 BV. Gemäss der bundesge- richtlichen Rechtsprechung sind Prozessbegehren als aussichtslos anzuse- hen, wenn die Gewinnaussichten beträchtlich geringer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rPr>
          <w:b/>
        </w:rPr>
        <w:t>E. 6.3</w:t>
      </w:r>
    </w:p>
    <w:p>
      <w:r>
        <w:t>Nach dem oben Ausgeführten muss die vorliegende Beschwerde als aus- sichtslos bezeichnet werden. Das Gesuch um Gewährung der unentgeltli- chen Prozessführung und Rechtsvertretung ist daher abzuweisen.</w:t>
      </w:r>
    </w:p>
    <w:p>
      <w:r>
        <w:rPr>
          <w:b/>
        </w:rPr>
        <w:t>E. 7</w:t>
      </w:r>
    </w:p>
    <w:p>
      <w:r>
        <w:t>Bei diesem Ausgang des Verfahrens sind die Gerichtskosten dem Be- schwerdeführer aufzuerlegen (Art. 63 Abs. 1 VwVG i.V.m. Art. 39 Abs. 2 lit. b StBOG). Für die Berechnung der Gerichtsgebühr gelangt das BStKR (i.V.m. Art. 63 Abs. 5 VwVG) zur Anwendung. Unter Berücksichtigung aller Um- stände ist die Gerichtsgebühr vorliegend auf Fr. 3'000.-- festzusetzen.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