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RR.2019.257 vom 12. Februar 2020</w:t>
      </w:r>
    </w:p>
    <w:p>
      <w:r>
        <w:t>Bundesstrafgericht, 2020-02-12, IT</w:t>
      </w:r>
    </w:p>
    <w:p>
      <w:r>
        <w:rPr>
          <w:b/>
        </w:rPr>
        <w:t xml:space="preserve">Quelle: </w:t>
      </w:r>
      <w:r>
        <w:t>https://mcp.opencaselaw.ch/entscheid/bstger_RR.2019.257</w:t>
      </w:r>
    </w:p>
    <w:p>
      <w:r>
        <w:t>FR: TPF RR.2019.257 du 12 février 2020</w:t>
      </w:r>
    </w:p>
    <w:p>
      <w:r>
        <w:t>IT: TPF RR.2019.257 del 12 febbraio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w:t>
      </w:r>
    </w:p>
    <w:p>
      <w:r>
        <w:t>- 4 -</w:t>
      </w:r>
    </w:p>
    <w:p>
      <w:r>
        <w:t>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La ricorrente sostiene che l’invio documentale ordinato dall’AFD disattende- rebbe manifestamente il principio della proporzionalità. A suo avviso, solo la documentazione contenente i nomi delle persone fisiche e giuridiche menzio- nate in rogatoria potrebbero essere trasmesse all’autorità estera, ad esclusione di tutto il resto. Questo anche per proteggere la sfera privata delle persone non toccate dai fatti rogatoriali (v. act. 1, pag. 10 e seg.)</w:t>
      </w:r>
    </w:p>
    <w:p>
      <w:r>
        <w:rPr>
          <w:b/>
        </w:rPr>
        <w:t>E. 2.1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w:t>
      </w:r>
    </w:p>
    <w:p>
      <w:r>
        <w:t>- 5 -</w:t>
      </w:r>
    </w:p>
    <w:p>
      <w:r>
        <w:t>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 derale 1A.177/2006 del 10 dicembre 2007 consid. 5.5; 1A.227/2006 del 22 feb- braio 2007 consid. 3.2; 1A.195/2005 del 1° settembre 2005 in fine; sentenza del Tribunale penale federale RR.2016.250 del 17 febbraio 2017 consid. 2.1). La trasmissione dell'intera documentazione potrà evitare altresì l'inoltro di eventuali domande complementari (DTF 136 IV 82 consid. 4.1; 121 II 241 consid. 3; sen- 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potenziale, se- condo cui la consegna giusta l'art. 74 AIMP è esclusa soltanto per quei mezzi di prova certamente privi di rilevanza per il procedimento penale all'estero (DTF 126 II 258 consid. 9c; 122 II 367 consid. 2c; 121 II 241 consid. 3a e b; TPF 2010 73 consid. 7.1).</w:t>
      </w:r>
    </w:p>
    <w:p>
      <w:r>
        <w:rPr>
          <w:b/>
        </w:rPr>
        <w:t>E. 2.2</w:t>
      </w:r>
    </w:p>
    <w:p>
      <w:r>
        <w:t>In concreto, risulta che la società ricorrente figura nella lista delle aziende elve- tiche che hanno acquistato beni a ditte italiane coinvolte nella truffa carosello all’IVA oggetto delle indagini estere, fatto del resto non contestato dall’insor- gente. Le autorità italiane hanno constatato come il conto oggetto della deci- sione impugnata sia stato utilizzato per pagare i beni in questione. La documen- tazione litigiosa contiene nomi di persone fisiche e giuridiche toccate dal proce- dimento estero, per cui l’utilità potenziale della stessa è certamente data. Con- trariamente a quanto asserito dalla ricorrente e conformemente alla giurispru- denza in materia (v. supra consid. 2.1), tutta la documentazione bancaria deve essere trasmessa alle autorità italiane, ciò che permetterà alle stesse di rico- struire tutti i flussi di denaro intervenuti e di verificare l’eventuale coinvolgimento di altre persone nei fatti oggetto d’indagine. La richiesta di trasmettere solo gli atti proposti dalla ricorrente (v. act. 1, pag. 11) non può pertanto essere accolta.</w:t>
      </w:r>
    </w:p>
    <w:p>
      <w:r>
        <w:t>- 6 -</w:t>
      </w:r>
    </w:p>
    <w:p>
      <w:r>
        <w:t>L'interesse alla sua sfera privata e a quella delle persone menzionate nella do- cumentazione litigiosa non può del resto prevalere, nelle descritte circostanze, sulle necessità di indagine e sull'obbligo della Svizzera di accordare l'assistenza più ampia possibile (art. 1 cpv. 1 CEAG; v. sentenza del Tribunale federale 1A.182/2006 del 9 agosto 2007 consid. 3.3). L'interesse degli inquirenti italiani ad accertare la sussistenza di eventuali fatti di rilevanza penale prevale dunque sul diritto alla riservatezza delle persone toccate dalla misura d’assistenza (v. sentenza del Tribunale penale federale RR.2017.146 del 4 agosto 2017 con- sid. 2.3), con la conseguenza che anche questa censura deve essere respinta.</w:t>
      </w:r>
    </w:p>
    <w:p>
      <w:r>
        <w:t>Spetterà comunque al giudice estero del merito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w:t>
      </w:r>
    </w:p>
    <w:p>
      <w:r>
        <w:rPr>
          <w:b/>
        </w:rPr>
        <w:t>E. 3</w:t>
      </w:r>
    </w:p>
    <w:p>
      <w:r>
        <w:t>In definitiva, la decisione impugnata va confermata e il gravame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