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RR.2019.256 vom 10. Februar 2020</w:t>
      </w:r>
    </w:p>
    <w:p>
      <w:r>
        <w:t>Bundesstrafgericht, 2020-02-10, IT</w:t>
      </w:r>
    </w:p>
    <w:p>
      <w:r>
        <w:rPr>
          <w:b/>
        </w:rPr>
        <w:t xml:space="preserve">Quelle: </w:t>
      </w:r>
      <w:r>
        <w:t>https://mcp.opencaselaw.ch/entscheid/bstger_RR.2019.256</w:t>
      </w:r>
    </w:p>
    <w:p>
      <w:r>
        <w:t>FR: TPF RR.2019.256 du 10 février 2020</w:t>
      </w:r>
    </w:p>
    <w:p>
      <w:r>
        <w:t>IT: TPF RR.2019.256 del 10 febbraio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w:t>
      </w:r>
    </w:p>
    <w:p>
      <w:r>
        <w:t>- 4 -</w:t>
      </w:r>
    </w:p>
    <w:p>
      <w:r>
        <w:t>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Informando dell’esistenza di un ricorso pendente dinanzi al Tribunale ammini- strativo federale concernente presunti reati fiscali in relazione ai medesimi fatti, la ricorrente sostiene che vi sarebbe il rischio concreto che la trasmissione dei dati bancari riferiti al suo conto presso la banca B. possano essere utilizzati per accertare una semplice decurtazione di tributi fiscali.</w:t>
      </w:r>
    </w:p>
    <w:p>
      <w:r>
        <w:rPr>
          <w:b/>
        </w:rPr>
        <w:t>E. 2.1</w:t>
      </w:r>
    </w:p>
    <w:p>
      <w:r>
        <w:t>Giusta l’art. 67 cpv. 1 AIMP, le informazioni e i documenti ottenuti mercé l’assi- stenza non possono essere usati nello Stato richiedente né a scopo d’indagine né come mezzi di prova in procedimenti vertenti su fatti per cui l’assistenza è inammissibile. Il cpv. 2 della medesima disposizione prevede che qualsiasi altro uso sottostà al consenso dell’Ufficio federale. Tale consenso non è necessario se: il fatto cui si riferisce la domanda costituisce un’altra fattispecie penale per la quale l’assistenza giudiziaria è ammissibile (lett. a), o il procedimento penale estero è diretto contro un’altra persona che ha partecipato al reato.</w:t>
      </w:r>
    </w:p>
    <w:p>
      <w:r>
        <w:t>- 5 -</w:t>
      </w:r>
    </w:p>
    <w:p>
      <w:r>
        <w:rPr>
          <w:b/>
        </w:rPr>
        <w:t>E. 2.2</w:t>
      </w:r>
    </w:p>
    <w:p>
      <w:r>
        <w:t>In concreto, l’AFD ha chiaramente indicato nella decisione impugnata che la trasmissione all’estero avverrà attirando espressamente l’attenzione dell’auto- rità rogante sul rispetto del principio della specialità (v. act. 1.1, pag. 7). Non vi sono del resto elementi nell’incarto che possano far credere che l’Italia non ri- spetterà tale principio. La censura in questo ambito va dunque respinta. Non avendo alcuna pertinenza nella fattispecie, va parimenti disattesa la richiesta di acquisizione dell’incarto relativo alla procedura pendente dinanzi al Tribunale amministrativo federale.</w:t>
      </w:r>
    </w:p>
    <w:p>
      <w:r>
        <w:rPr>
          <w:b/>
        </w:rPr>
        <w:t>E. 3</w:t>
      </w:r>
    </w:p>
    <w:p>
      <w:r>
        <w:t>La ricorrente sostiene che l’invio documentale ordinato dall’AFD disattende- rebbe manifestamente il principio della proporzionalità. A suo avviso, l’autorità rogante disporrebbe già di tutti gli elementi – segnatamente e-mail scambiate con le persone fisiche e giuridiche coinvolte nelle indagini italiane – utili a chia- rire tutte le operazioni che hanno toccato la ricorrente, per cui la trasmissione contestata non servirebbe a far progredire l’inchiesta estera. Essa aggiunge che nella documentazione litigiosa vi sarebbero tutte le operazioni commerciali che la ricorrente ha effettuato con controparti che nulla avrebbero a che vedere con l’inchiesta in essere, eccezion fatta per due società, ossia la C. s.r.l. e la D. s.r.l. L’invio contestato costituirebbe una fishing expedition.</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w:t>
      </w:r>
    </w:p>
    <w:p>
      <w:r>
        <w:t>- 6 -</w:t>
      </w:r>
    </w:p>
    <w:p>
      <w:r>
        <w:t>II 180 consid. 3c inedito; 121 II 241 consid. 3b e c; sentenze del Tribunale fe- derale 1A.177/2006 del 10 dicembre 2007 consid. 5.5; 1A.227/2006 del 22 feb- 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 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potenziale, se- 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 creti a sostegno dello stesso (DTF 125 II 65 consid. 6b/aa pag. 73 e rinvii). Questo modo di procedere non è consentito in ambito di assistenza internazio- nale sia alla luce del principio della specialità che di quello della proporzionalità. Tale divieto si fonda semplicemente sul fatto che è inammissibile procedere a casaccio nella raccolta delle prove (DTF 113 Ib 257 consid. 5c).</w:t>
      </w:r>
    </w:p>
    <w:p>
      <w:r>
        <w:rPr>
          <w:b/>
        </w:rPr>
        <w:t>E. 3.2</w:t>
      </w:r>
    </w:p>
    <w:p>
      <w:r>
        <w:t>In concreto, risulta che la società ricorrente figura nella lista delle aziende elve- tiche che hanno acquistato beni a ditte italiane coinvolte nella truffa carosello all’IVA oggetto delle indagini estere, fatto del resto non contestato dall’insor- gente. Le autorità italiane hanno constatato come il conto oggetto della deci- sione impugnata sia stato utilizzato per pagare i beni in questione. La documen- tazione litigiosa contiene nomi di persone fisiche e giuridiche toccate dal proce- dimento estero, per cui l’utilità potenziale della stessa è certamente data. Con- trariamente a quanto asserito dalla ricorrente e conformemente alla giurispru- denza in materia (v. supra consid. 3.1), tutta la documentazione bancaria deve essere trasmessa alle autorità italiane, ciò che permetterà alle stesse di rico- struire tutti i flussi di denaro intervenuti e di verificare l’eventuale coinvolgimento di altre persone nei fatti oggetto d’indagine. Il fatto, comunque non documentato e non scontato, che le autorità estere disporrebbero delle e-mail legate alle tran- sazioni effettuate dalla ricorrente con le società estere coinvolte nelle indagini non ha alcuna influenza, dato che l’autorità rogante ha espressamente richiesto la documentazione litigiosa. Premesso che non tocca al giudice dell’assistenza valutare l‘esistenza o meno di sufficienti sospetti di reato nell’inchiesta estera, l’autorità italiana ha sufficientemente descritto nella sua rogatoria i fatti e la pre- sunta truffa carosello all’IVA contestata agli indagati. Che nessun sospetto sia stato sostanziato o sia sostanziabile nei confronti della ricorrente nulla osta alla trasmissione contestata, visto che nella presente procedura deve essere unica-</w:t>
      </w:r>
    </w:p>
    <w:p>
      <w:r>
        <w:t>- 7 -</w:t>
      </w:r>
    </w:p>
    <w:p>
      <w:r>
        <w:t>mente analizzata l’utilità potenziale della documentazione litigiosa e non la re- sponsabilità penale della ricorrente stessa (v. più ampiamente ZIMMERMANN, La coopération judiciaire internationale en matière pénale, 5a ediz. 2019, n. 404).</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un'inammissibile fishing expedition.</w:t>
      </w:r>
    </w:p>
    <w:p>
      <w:r>
        <w:rPr>
          <w:b/>
        </w:rPr>
        <w:t>E. 4</w:t>
      </w:r>
    </w:p>
    <w:p>
      <w:r>
        <w:t>In definitiva, la decisione impugnata va confermata e il gravame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