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RR.2019.24 vom 27. Februar 2019</w:t>
      </w:r>
    </w:p>
    <w:p>
      <w:r>
        <w:t>Bundesstrafgericht, 2019-02-27, DE</w:t>
      </w:r>
    </w:p>
    <w:p>
      <w:r>
        <w:rPr>
          <w:b/>
        </w:rPr>
        <w:t xml:space="preserve">Quelle: </w:t>
      </w:r>
      <w:r>
        <w:t>https://mcp.opencaselaw.ch/entscheid/bstger_RR.2019.24</w:t>
      </w:r>
    </w:p>
    <w:p>
      <w:r>
        <w:t>FR: TPF RR.2019.24 du 27 février 2019</w:t>
      </w:r>
    </w:p>
    <w:p>
      <w:r>
        <w:t>IT: TPF RR.2019.24 del 27 febbraio 2019</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BGE 141 IV 108 E. 4.2; 137 IV 25 E. 4.2.2; Verhältnis zum IRSG: BGE 132 II 178 E. 2.1; 124 II 127 E. 2a; ZIMMERMANN, La coopération judiciaire inter- nationale en matière pénale, 4. Aufl. 2014, N. 60 ff., 82 ff.). In Ausführung dieses Staatsvertrages wurde am 3. Oktober 1975 das Bundesgesetz zum Staatsvertrag mit den Vereinigten Staaten von Amerika über gegenseitige Rechtshilfe in Strafsachen erlassen (BG-RVUS; SR 351.93). Dieses enthält vor allem Zuständigkeits- und Vollzugsvorschriften. Sodann ist das von den USA und der Schweiz ratifizierte Übereinkommen der Vereinten Nationen gegen Korruption vom 31. Oktober 2003 (SR 0.311.56) einschlägig, insbe- sondere dessen Art. 46 (vgl. dazu BGE 140 IV 123 E. 2).</w:t>
      </w:r>
    </w:p>
    <w:p>
      <w:r>
        <w:rPr>
          <w:b/>
        </w:rPr>
        <w:t>E. 1.2</w:t>
      </w:r>
    </w:p>
    <w:p>
      <w:r>
        <w:t>Soweit diese Staatsverträge bzw. das BG-RVUS bestimmte Fragen weder ausdrücklich noch stillschweigend regeln, ist das Bundesgesetz vom 20. März 1981 über internationale Rechtshilfe in Strafsachen (IRSG; SR 351.1) und die dazugehörige Verordnung vom 24. Februar 1982 (IRSV; SR 351.11) anwendbar (Art. 1 Abs. 1 IRSG; BGE 143 IV 91 E. 1.3; 136 IV 82 E. 3.2; 130 II 337 E. 1; vgl. auch Art. 54 StPO). Das schweizerische Lan- desrecht kommt im Allgemeinen auch zur Anwendung, soweit es geringere Anforderungen an die Rechtshilfe stellt (sog. Günstigkeitsprinzip; BGE 142 IV 250 E. 3; 140 IV 123 E. 2; 136 IV 82 E. 3.1; 135 IV 212 E. 2.3; ZIMMER- MANN, a.a.O., N. 229).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7 Abs. 1 BG-RVUS; Art. 39 Abs. 2 lit. b i.V.m. Art. 37 Abs. 2 lit. a StBOG; BGE 139 II 404 E. 6/8.2; Urteil des Bundesgerichts 1C_763/2013 vom 27. September 2013 E. 2.2; ZIMMERMANN, a.a.O., N. 273).</w:t>
      </w:r>
    </w:p>
    <w:p>
      <w:r>
        <w:rPr>
          <w:b/>
        </w:rPr>
        <w:t>E. 2.1</w:t>
      </w:r>
    </w:p>
    <w:p>
      <w:r>
        <w:t>Die Verfügung der Zentralstelle, mit der das Rechtshilfeverfahren abge- schlossen wird, unterliegt zusammen mit den vorangehenden Zwischenver-</w:t>
      </w:r>
    </w:p>
    <w:p>
      <w:r>
        <w:t>- 4 -</w:t>
      </w:r>
    </w:p>
    <w:p>
      <w:r>
        <w:t>fügungen der ausführenden Behörde der Beschwerde an die Beschwerde- kammer des Bundesstrafgerichts (Art. 17 Abs. 1 Satz 1 BG-RVUS und Art. 37 Abs. 2 lit. a Ziff. 4 des Bundesgesetzes vom 19. März 2010 über die Organisation der Strafbehörden des Bundes [Strafbehördenorganisations- gesetz, StBOG; SR 173.71]).</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der Art. 21 Abs. 3 und Art. 80h IRSG gilt bei der Erhebung von Kontoinformationen der Kontoinhaber (Art. 9a IRSV).</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2c-d S. 157 f.). Die Beweislast für die wirtschaftliche Berechtigung und die Liquidation der Gesellschaft obliegt dem Rechtsuchenden. Darüber hinaus muss der wirtschaftlich Berechtigte im Auflösungsakt eindeutig als Begüns- tigter des Liquidationsgewinns bezeichnet sein (Urteile des Bundesgerichts 1C_183/2012 vom 12. April 2012 E. 1.5; 1C_161/2011 vom 11. April 2011 E. 1.3; 1A.284/2003 vom 11. Februar 2004 E. 1; 1A.212/2001 vom 21. März 2002 E. 1.3.2; 1A.84/1999 vom 31. Mai 1999 E. 2c; Entscheid des Bun- 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2.3</w:t>
      </w:r>
    </w:p>
    <w:p>
      <w:r>
        <w:t>Von der Rechtshilfemassnahme sind die beiden von der Bank B. geführten Konten Nrn. 1 und 2, lautend auf die D. SA, betroffen (act. 1.2). Der Be- schwerdeführer macht geltend, die D. SA sei am 5. April 2017 aufgelöst wor- den. Bei Saldierung der beiden vorgenannten Konten seien die Vermögens- werte auf andere von der Bank B. geführten Konten transferiert worden, an welchen der Beschwerdeführer wirtschaftlich Berechtigter sei. Die Vermö- genswerte des Kontos Nr. 1 seien im Juli 2009 auf ein anderes, ebenfalls auf die D. SA lautendes Konto transferiert worden. Die Vermögenswerte des Kontos Nr. 3 (recte: 1) seien hingegen auf das Konto Nr. 4 bei der Bank B.,</w:t>
      </w:r>
    </w:p>
    <w:p>
      <w:r>
        <w:t>- 5 -</w:t>
      </w:r>
    </w:p>
    <w:p>
      <w:r>
        <w:t>lautend auf die E. Ltd. überwiesen worden. Diese Ausführungen genügen der oben dargelegten Rechtsprechung zum Nachweis der Beschwerdelegi- timation nicht. Der Beschwerdeführer vermochte nicht nachzuweisen, dass er der wirtschaftlich Berechtigte des Liquidationserlöses der D. SA ist. Dies gilt erst recht, als die beiden von der Rechtshilfemassnahme betroffenen Konten Ende Juli 2009 bzw. Ende Dezember 2016, mithin noch vor Auflö- sung der D. SA saldiert wurden (act. 1, S. 5; act. 1.2, S. 5; act. 1.5 und act. 1.6). Damit ist auf die Beschwerde nicht einzutreten. Bei diesem Ergeb- nis sind die übrigen Eintretensvoraussetzungen nicht zu prüfen.</w:t>
      </w:r>
    </w:p>
    <w:p>
      <w:r>
        <w:rPr>
          <w:b/>
        </w:rPr>
        <w:t>E. 3</w:t>
      </w:r>
    </w:p>
    <w:p>
      <w:r>
        <w:t>Nach dem Gesagten ist auf die Beschwerde nicht einzutreten.</w:t>
      </w:r>
    </w:p>
    <w:p>
      <w:r>
        <w:rPr>
          <w:b/>
        </w:rPr>
        <w:t>E. 4</w:t>
      </w:r>
    </w:p>
    <w:p>
      <w:r>
        <w:t>Bei diesem Ausgang des Verfahrens sind die Gerichtskosten dem Be- schwerdeführer aufzuerlegen (Art. 63 Abs. 1 VwVG). Die Gerichtsgebühr ist auf Fr. 2‘000.-- festzusetzen (Art. 63 Abs. 5 VwVG i.V.m. Art. 73 StBOG so- wie Art. 5 und Art. 8 Abs. 3 lit. a BStKR), unter Anrechnung des entsprechen- den Betrages am geleisteten Kostenvorschuss von Fr. 5‘000.--. Die Bun- desstrafgerichtskasse wird angewiesen, dem Beschwerdeführer Fr. 3‘000.--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