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RR.2019.233 vom 2. Oktober 2019</w:t>
      </w:r>
    </w:p>
    <w:p>
      <w:r>
        <w:t>Bundesstrafgericht, 2019-10-02, DE</w:t>
      </w:r>
    </w:p>
    <w:p>
      <w:r>
        <w:rPr>
          <w:b/>
        </w:rPr>
        <w:t xml:space="preserve">Quelle: </w:t>
      </w:r>
      <w:r>
        <w:t>https://mcp.opencaselaw.ch/entscheid/bstger_RR.2019.233</w:t>
      </w:r>
    </w:p>
    <w:p>
      <w:r>
        <w:t>FR: TPF RR.2019.233 du 2 octobre 2019</w:t>
      </w:r>
    </w:p>
    <w:p>
      <w:r>
        <w:t>IT: TPF RR.2019.233 del 2 ottobre 2019</w:t>
      </w:r>
    </w:p>
    <w:p>
      <w:pPr>
        <w:pStyle w:val="Heading2"/>
      </w:pPr>
      <w:r>
        <w:t>Regeste</w:t>
      </w:r>
    </w:p>
    <w:p>
      <w:r>
        <w:t>Internationale Rechtshilfe in Strafsachen an Brasilien. Kontosperre (Art. 33a IRSV).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Februar 2019 E. 2.1; vgl. auch LUDWICZAK GLASSEY, Entraide judiciaire internationale en matière pénale, 2018, N. 545 m.w.H.);</w:t>
      </w:r>
    </w:p>
    <w:p>
      <w:r>
        <w:t>- das vorliegend angefochtene Schreiben vom 23. August 2019 eine Zwi- schenverfügung darstellt; sie nach der Rechtsprechung dann prozessual als Schlussverfügung zu qualifizieren sein könnte, wenn das Gesuch um Teil- freigabe der Vermögenswerte längere Zeit nach der Schlussverfügung ge- stellt worden wäre;</w:t>
      </w:r>
    </w:p>
    <w:p>
      <w:r>
        <w:t>- die Schlussverfügung vom 1. Mai 2019 datiert; das Gesuch um Teilfreigabe der Vermögenswerte vom 16. August 2019 datiert; das Gesuch damit klar nicht nach längerer Zeit im Sinne der erwähnten Rechtsprechung gestellt wurde; mithin die vorliegend angefochtene Verfügung auch nicht prozessual als Schlussverfügung qualifiziert werden kann;</w:t>
      </w:r>
    </w:p>
    <w:p>
      <w:r>
        <w:t>- nach dem Gesagten die Beschwerdefrist gegen die vorliegend angefochtene Verfügung zehn Tage beträgt;</w:t>
      </w:r>
    </w:p>
    <w:p>
      <w:r>
        <w:t>- der Beschwerdeführer geltend macht, die vorliegend angefochtene Verfü- gung sei ihm am 26. August 2019 zugestellt worden; sich die am 24. Sep- tember 2019 erhobene Beschwerde damit als verspätet erweist;</w:t>
      </w:r>
    </w:p>
    <w:p>
      <w:r>
        <w:t>- 4 -</w:t>
      </w:r>
    </w:p>
    <w:p>
      <w:r>
        <w:t>- Verfügungen und Entscheide eidgenössischer und kantonaler Behörden müssen mit einer Rechtsmittelbelehrung versehen sein, die das zulässige Rechtsmittel, die Rechtsmittelinstanz und die Rechtsmittelfrist nennt (Art. 22 IRSG; vgl. auch Art. 35 Abs. 1 und 2 VwVG);</w:t>
      </w:r>
    </w:p>
    <w:p>
      <w:r>
        <w:t>- der vorliegend angefochtenen Verfügung eine Rechtsmittelbelehrung fehlt; sie insofern an einem Eröffnungsmangel leidet;</w:t>
      </w:r>
    </w:p>
    <w:p>
      <w:r>
        <w:t>- den Parteien aus mangelhafter Eröffnung kein Nachteil erwachsen darf (vgl. Art. 38 VwVG; BGE 127 II 198 E. 2c; Urteil des Bundesgerichts 1A.37/2003 vom 2. April 2003 E. 1.3; GLESS/SCHAFFNER, Basler Kommentar, 2015, Art. 22 IRSG N. 12 m.w.H.);</w:t>
      </w:r>
    </w:p>
    <w:p>
      <w:r>
        <w:t>- sich nicht auf eine fehlende Rechtsmittelbelehrung berufen kann, wer das Rechtsmittel kennt oder bei gebührender Sorgfalt hätte erkennen müssen; (vgl. BGE 127 II 198 E. 2c; Urteil des Bundesgerichts 1A.37/2003 vom 2. Ap- ril 2003 E. 1.3; GLESS/SCHAFFNER, a.a.O., Art. 22 IRSG N. 13 m.w.H.); sich vorliegend aus den einschlägigen Gesetzesnormen ergibt, dass die Be- schwerdefrist gegen eine Zwischenverfügung zehn Tage beträgt (vgl. Art. 80k IRSG); der Beschwerdeführer selbst überdies auf einschlägige Rechtsprechung hierzu (nämlich TPF 2007 124) hinweist; das Rechtsmittel somit bei der für einen Anwalt gebotenen Aufmerksamkeit leicht erkennbar war;</w:t>
      </w:r>
    </w:p>
    <w:p>
      <w:r>
        <w:t>- sich der Beschwerdeführer nach dem Gesagten nicht auf die fehlende Rechtsmittelbelehrung berufen kann;</w:t>
      </w:r>
    </w:p>
    <w:p>
      <w:r>
        <w:t>- demnach auf die zum vornherein unzulässige Beschwerde ohne Schriften- wechsel nicht einzutreten ist (vgl. Art. 57 Abs. 1 VwVG e contrario);</w:t>
      </w:r>
    </w:p>
    <w:p>
      <w:r>
        <w:t>- bei diesem Ausgang des Verfahrens die Gerichtskosten dem Beschwerde- führer aufzuerlegen sind (vgl. Art. 63 Abs. 1 VwVG);</w:t>
      </w:r>
    </w:p>
    <w:p>
      <w:r>
        <w:t>- die Gerichtsgebühr auf Fr. 500.– festzusetzen ist (vgl. Art. 63 Abs. 5 VwVG i.V.m. Art. 73 StBOG und Art. 5 und Art. 8 Abs. 3 lit. b des Reglements des Bundesstrafgerichts vom 31. August 2010 über die Kosten, Gebühren und Entschädigungen in Bundesstrafverfahren [BStKR; SR 173.713.162]);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