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RR.2019.20 vom 16. August 2019</w:t>
      </w:r>
    </w:p>
    <w:p>
      <w:r>
        <w:t>Bundesstrafgericht, 2019-08-16, FR</w:t>
      </w:r>
    </w:p>
    <w:p>
      <w:r>
        <w:rPr>
          <w:b/>
        </w:rPr>
        <w:t xml:space="preserve">Quelle: </w:t>
      </w:r>
      <w:r>
        <w:t>https://mcp.opencaselaw.ch/entscheid/bstger_RR.2019.20</w:t>
      </w:r>
    </w:p>
    <w:p>
      <w:r>
        <w:t>FR: TPF RR.2019.20 du 16 août 2019</w:t>
      </w:r>
    </w:p>
    <w:p>
      <w:r>
        <w:t>IT: TPF RR.2019.20 del 16 agosto 2019</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w:t>
      </w:r>
    </w:p>
    <w:p>
      <w:r>
        <w:t>- 5 -</w:t>
      </w:r>
    </w:p>
    <w:p>
      <w:r>
        <w:t>également à l'entraide pénale entre ces deux États. Peut également s'appliquer en l'occurrence la Convention du Conseil de l'Europe relative au blanchiment, au dépistage, à la saisie et à la confiscation des produits du crime (CBI;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20 consid. 3; 140 IV 123 consid. 2; 137 IV 33 consid. 2.2.2; 136 IV 82 consid. 3.1; arrêt du Tribunal pénal fédéral RR.2010.9 du 15 avril 2010 consid. 1.3), ce qui est valable aussi dans le rapport entre elles des normes internationales (v. art. 48 ch. 2 CAAS et 39 ch. 2 CBI). L'application de la norme la plus favorable doit avoir lieu dans le respect des droits fondamentaux (ATF 135 IV 212 consid. 2.3; 123 II 595 consid. 7c).</w:t>
      </w:r>
    </w:p>
    <w:p>
      <w:r>
        <w:rPr>
          <w:b/>
        </w:rPr>
        <w:t>E. 1.2</w:t>
      </w:r>
    </w:p>
    <w:p>
      <w:r>
        <w:t>En vertu de l'art. 37 al. 2 let. a ch. 1 de la loi fédérale sur l'organisation des autorités pénales de la Confédération (LOAP; RS 173.71) mis en relation avec les art. 25 al. 1 et 80e al. 1 EIMP, la Cour des plaintes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Le délai de recours contre la décision de clôture partielle du 10 janvier 2019 est de 30 jours dès la communication écrite de celle-ci (art. 80k EIMP). Déposé à un bureau de poste suisse le 11 février 2019, le recours est intervenu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l'État requérant d'informations relatives à ce compte (cf. ATF 137 IV 134 consid. 5; 118 Ib 547 consid. 1d). De jurisprudence constante, cette qualité est en revanche déniée à l'ayant droit économique (ATF 139 II 404 consid. 2.1.1 et les arrêts cités; 129 II 268 consid. 2.3.3; arrêt du Tribunal fédéral 1A.87/2004 du 3 juin 2004 consid. 2 et les arrêts cités). Exceptionnellement, la qualité pour agir est reconnue à l'ayant droit d'une société titulaire de compte lorsque celle-ci a été dissoute et liquidée, sous réserve de l'abus de droit (ATF 123 II 13 consid. 2c et 2d; arrêt du Tribunal fédéral 1C_122/2011 du 23 mai 2011 consid. 2; TPF 2009 183 consid. 2.1.1; arrêt du Tribunal pénal</w:t>
      </w:r>
    </w:p>
    <w:p>
      <w:r>
        <w:t>- 6 -</w:t>
      </w:r>
    </w:p>
    <w:p>
      <w:r>
        <w:t>fédéral RR.2017.292-293 du 27 avril 2018 consid. 2.1.2 et les arrêts cités; ZIMMERMANN, La coopération judiciaire internationale en matière pénale, 5e éd. 2019, n° 529 et les références citées).</w:t>
      </w:r>
    </w:p>
    <w:p>
      <w:r>
        <w:rPr>
          <w:b/>
        </w:rPr>
        <w:t>E. 1.4.2</w:t>
      </w:r>
    </w:p>
    <w:p>
      <w:r>
        <w:t>En l’espèce, compte tenu des principes précités, A. SA est habilitée à recourir en ce qui concerne les informations la concernant en lien avec la relation bancaire no. 1. Partant, il y a lieu d’entrer en matière à cet égard.</w:t>
      </w:r>
    </w:p>
    <w:p>
      <w:r>
        <w:rPr>
          <w:b/>
        </w:rPr>
        <w:t>E. 2</w:t>
      </w:r>
    </w:p>
    <w:p>
      <w:r>
        <w:t>Dans un premier grief, la recourante invoque la violation des conditions de l’octroi de l’entraide internationale en matière pénale. Elle estime que le contenu de la demande d’entraide ne décrit aucun lien entre A. SA et les personnes visées par l’enquête pénale espagnole, l’autorité requérante se contentant d’indiquer que son nom et numéro de compte ont été découverts parmi la documentation de B., un des individus soupçonnés d’avoir participé à des infractions de corruption, blanchiment d’argent et organisation criminelle (act. 1, p. 11).</w:t>
      </w:r>
    </w:p>
    <w:p>
      <w:r>
        <w:rPr>
          <w:b/>
        </w:rPr>
        <w:t>E. 2.1</w:t>
      </w:r>
    </w:p>
    <w:p>
      <w:r>
        <w:t>Selon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Le droit interne (art. 28 EIMP) pose des exigences équivalentes, que l'OEIMP précise en exigeant l'indication du lieu, de la date et du mode de commission des infractions (art. 10 OEIMP; ATF 129 II 97 consid. 3.1; arrêt du Tribunal fédéral 1A.145/2006 du 15 septembre 2006 consid. 2.1). Selon la jurisprudence, l’on ne saurait exiger de l’État requérant un exposé complet et exempt de toute lacune, puisque la procédure d'entraide a précisément pour but d'apporter aux autorités de cet État des renseignements au sujet des points demeurés obscurs (ATF 117 IB 64 consid. 5c et les arrêts cités).</w:t>
      </w:r>
    </w:p>
    <w:p>
      <w:r>
        <w:rPr>
          <w:b/>
        </w:rPr>
        <w:t>E. 2.2</w:t>
      </w:r>
    </w:p>
    <w:p>
      <w:r>
        <w:t>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l'État requérant qu'en cas d'erreurs, lacunes ou contradictions évidentes et immédiatement établies (ATF 133 IV 76 consid. 2.2; 126 II 495 consid. 5e; arrêt du Tribunal pénal fédéral RR.2010.11 du 22 mars 2010 consid. 2.3 et la jurisprudence citée). L'exposé des faits ne doit pas être considéré comme</w:t>
      </w:r>
    </w:p>
    <w:p>
      <w:r>
        <w:t>- 7 -</w:t>
      </w:r>
    </w:p>
    <w:p>
      <w:r>
        <w:t>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2.3</w:t>
      </w:r>
    </w:p>
    <w:p>
      <w:r>
        <w:t>En l’occurrence, la demande d’entraide indique que l’autorité requérante enquête, depuis 2015, sur des présumés pots-de-vin – pour un montant de EUR 6'400’000 – versés entre le 23 mai et le 26 juin 2006. Les fonds ainsi obtenus auraient par la suite transité entre divers comptes bancaires et sociétés liés à C., homme de paille présumé de B. Selon les éléments recueillis à ce stade des investigations, les paiements corruptifs auraient eu lieu dans le cadre de l’attribution de marchés publics et seraient notamment liés à la société H. SA dont un des bénéficiaires serait B., ancien Président de la J. Divers prévenus auraient ainsi utilisé, directement ou par le biais de prête-noms, des sociétés et des relations bancaires afin de dissimuler l'origine illégale de valeurs patrimoniales et leurs véritables ayants droit. C’est lors de l’analyse de la documentation de B. que le nom de A. SA et le numéro de la relation bancaire no. 1 seraient apparus (act. 8.1, dossier entraide, p. 27, 69, 70).</w:t>
      </w:r>
    </w:p>
    <w:p>
      <w:r>
        <w:t>Contrairement à l’opinion de la recourante, la commission rogatoire espagnole du 12 juillet 2018 et son complément du 7 août 2018 décrivent les raisons à l’origine de l'enquête nationale, les personnes impliquées, la qualification juridique selon le droit espagnol et un bref exposé des faits essentiels. La demande telle que présentée a permis au MP-GE de considérer la requête recevable, d’exclure sa nature politique ou fiscale et d’apprécier que les faits incriminés, transposés en droit suisse, peuvent notamment être qualifiés de corruption et blanchiment d’argent (art. 305bis CP, 322 s. CP; act. 8.1, dossier entraide, p. 91-92). À la lecture des requêtes d’entraide précitées, on comprend que l’autorité requérante soupçonne que le compte bancaire de la recourante aurait servi à des opérations bancaires en lien avec les infractions de blanchiment sous enquête en Espagne. Bien que la commission rogatoire complémentaire du 12 juillet 2018 ne se limite qu’à mentionner le nom de la recourante et à relever que son numéro de compte en Suisse figurait dans la documentation bancaire saisie auprès de B., cela suffit pour admettre que le compte de la recourante pourrait se trouver impliqué dans les opérations de blanchiment sous enquête dans l’État requérant. Eu égard à la complexité de l’affaire, impliquant bon nombre de sociétés et de personnes, tant en Espagne qu’à l’étranger, on ne saurait mettre en doute l’utilité de ces informations pour l’État requérant. Les conditions posées par l'art. 14 ch. 1 let. a et b et ch. 2 CEEJ sont dès lors respectées et il se justifie de transmettre aux autorités espagnoles les</w:t>
      </w:r>
    </w:p>
    <w:p>
      <w:r>
        <w:t>- 8 -</w:t>
      </w:r>
    </w:p>
    <w:p>
      <w:r>
        <w:t>informations contenues dans les notes de compliance et les rapports de contact (act. 8.1, dossier MP-GE, onglet C.2.2, p. 85-116).</w:t>
      </w:r>
    </w:p>
    <w:p>
      <w:r>
        <w:rPr>
          <w:b/>
        </w:rPr>
        <w:t>E. 2.4</w:t>
      </w:r>
    </w:p>
    <w:p>
      <w:r>
        <w:t>Au vu de ce qui précède, le grief selon lequel les autorités espagnoles ne démontreraient aucun lien entre A. SA et les personnes sous enquête pénale est mal fondé et doit être rejeté.</w:t>
      </w:r>
    </w:p>
    <w:p>
      <w:r>
        <w:rPr>
          <w:b/>
        </w:rPr>
        <w:t>E. 3</w:t>
      </w:r>
    </w:p>
    <w:p>
      <w:r>
        <w:t>Dans un second grief, la recourante invoque la violation du principe de proportionnalité. Elle estime, d’une part, que le MP-GE a interprété largement la demande d’entraide espagnole puisqu’il a ordonné le séquestre de documents « qui n’étaient pourtant pas expressément visés par les demandes d’entraide espagnoles » (act. 1, p. 13). D’autre part, elle considère que la transmission des mémorandums figurant dans les notes de compliance sort complètement du champ de l’entraide requise et constitue une « fishing expedition » des autorités helvétiques en faveur de l’autorité espagnole (act. 1, p. 14).</w:t>
      </w:r>
    </w:p>
    <w:p>
      <w:r>
        <w:rPr>
          <w:b/>
        </w:rPr>
        <w:t>E. 3.1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Le principe de la proportionnalité interdit à l'autorité suisse d'aller au-delà des requêtes qui lui sont adressées et d'accorder à l'État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242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C'est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d'en dévoiler d'autres, s'ils existent. Il en découle, pour l'autorité d'exécution, un devoir d'exhaustivité,</w:t>
      </w:r>
    </w:p>
    <w:p>
      <w:r>
        <w:t>- 9 -</w:t>
      </w:r>
    </w:p>
    <w:p>
      <w:r>
        <w:t>qui justifie de communiquer tous les éléments qu'elle a réunis, propres à servir l'enquête étrangère, afin d'éclairer dans tous ses aspects les rouages du mécanisme délictueux poursuivi dans l'État requérant (arrêts du Tribunal pénal fédéral RR.2010.173 du 13 octobre 2010 consid. 4.2.4/a et RR.2009.320 du 2 février 2010 consid. 4.1; ZIMMERMANN, op. cit.,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En outre, l'octroi de l'entraide n'implique pas que la personne soumise à une mesure de contrainte dans l'État requis soit elle-même accusée dans l'État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w:t>
      </w:r>
    </w:p>
    <w:p>
      <w:r>
        <w:rPr>
          <w:b/>
        </w:rPr>
        <w:t>E. 3.2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3.3</w:t>
      </w:r>
    </w:p>
    <w:p>
      <w:r>
        <w:t>En l’occurrence, vu le complexe de faits, le nombre de personnes et de sociétés sous enquête en Espagne et le fait que le nom et le numéro de la relation bancaire de A. SA sont apparus lors de l’analyse, par l’autorité</w:t>
      </w:r>
    </w:p>
    <w:p>
      <w:r>
        <w:t>- 10 -</w:t>
      </w:r>
    </w:p>
    <w:p>
      <w:r>
        <w:t>requérante, de la documentation appartenant à un des supposés bénéficiaires des paiements corruptifs investigués, c’est à tort que la recourante considère que le MP-GE est allé au-delà de ce qui était requis par l’autorité espagnole. La commission rogatoire complémentaire du</w:t>
      </w:r>
    </w:p>
    <w:p>
      <w:r>
        <w:rPr>
          <w:b/>
        </w:rPr>
        <w:t>E. 3.4</w:t>
      </w:r>
    </w:p>
    <w:p>
      <w:r>
        <w:t>Il s’ensuit que le grief tiré d’une violation de l’art. 63 al. 1 EIMP, respectivement du principe de proportionnalité, est mal fondé et doit être rejeté.</w:t>
      </w:r>
    </w:p>
    <w:p>
      <w:r>
        <w:t>4. Au vu de l’ensemble des éléments qui précèdent, le recours est rejeté.</w:t>
      </w:r>
    </w:p>
    <w:p>
      <w:r>
        <w:t>5. En règle générale, les frais de procédure, comprenant l'émolument d'arrêté, les émoluments de chancellerie et les débours, sont mis à la charge de la partie qui succombe (art. 63 al. 1 de la loi fédérale du 20 décembre 1968 sur la procédure administrative [PA; 172.021], applicable par renvoi de l'art. 39 al. 2 let. b LOAP). Le montant de l'émolument est calculé en fonction de</w:t>
      </w:r>
    </w:p>
    <w:p>
      <w:r>
        <w:t>- 11 -</w:t>
      </w:r>
    </w:p>
    <w:p>
      <w:r>
        <w:t>l'ampleur et de la difficulté de la cause, de la façon de procéder des parties, de leur situation financière et des frais de chancellerie (art. 73 al. 2 LOAP). La recourante, qui succombe, supportera les frais du présent arrêt, fixés à CHF 5'000.-- (art. 73 al. 2 LOAP, art. 8 al. 3 du règlement du 31 août 2010 du Tribunal pénal fédéral sur les frais, émoluments, dépens, et indemnités de la procédure pénale fédérale [RFPPF; RS 173.713.162] et art. 63 al. 5 PA), réputés couverts par l'avance de frais déjà versée.</w:t>
      </w:r>
    </w:p>
    <w:p>
      <w:r>
        <w:t>- 12 -</w:t>
      </w:r>
    </w:p>
    <w:p>
      <w:r>
        <w:rPr>
          <w:b/>
        </w:rPr>
        <w:t>E. 7</w:t>
      </w:r>
    </w:p>
    <w:p>
      <w:r>
        <w:t>août 2018 fait expressément référence à la transmission de, entre autres, toutes les informations disponibles en lien avec la relation bancaire no. 1 ainsi que sur les personnes physiques ou morales ayant un lien avec celle- ci (« […] en general, toda la información existente en relación a estos productos y las personas físicas o jurídicas que se relacionen con él » « Allgemein wird um Erteilung von jeder verfügbaren Auskunft zu den vorgenannten Produkten bzw. der natürlichen oder juristischen Personen ersucht, die einen Bezug zu diesen aufweisen » [act. 8.1, dossier entraide, p. 47, 70). En ce qui concerne plus particulièrement les deux mémorandums de la banque F. (figurant dans les notes de compliance), ils contiennent également des informations concernant la recourante et la relation bancaire dont elle est titulaire et qui pourraient être en relation avec les personnes ou les sociétés sous enquête en Espagne. Partant, il existe un lien de connexité suffisant qui justifie également la transmission des notes de compliance et des rapports de contact à l’autorité de poursuite espagnole, car ces informations sont susceptibles d’éclairer l’enquête étrangère. À relever, par surabondance, que la transmission d’informations dans le cadre de l’entraide internationale, régie par le principe de l’utilité potentielle, n’a pas pour seul objectif d’aider l’État requérant à prouver les faits qu’il a déjà découvert, mais également d’en dévoiler, s’ils existent, des nouveaux faits, informations ou moyens de preuve dont elle n’avait pas connaissance, étant rappelé que l'entraide vise non seulement à recueillir des preuves à charge, mais également à décharge (v. supra consid. 3.1). Par conséquent, dans le cas d’espèce, le grief selon lequel la transmission de certaines informations constituerait une « fishing expedition »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