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RR.2019.192 vom 16. Januar 2020</w:t>
      </w:r>
    </w:p>
    <w:p>
      <w:r>
        <w:t>Bundesstrafgericht, 2020-01-16, IT</w:t>
      </w:r>
    </w:p>
    <w:p>
      <w:r>
        <w:rPr>
          <w:b/>
        </w:rPr>
        <w:t xml:space="preserve">Quelle: </w:t>
      </w:r>
      <w:r>
        <w:t>https://mcp.opencaselaw.ch/entscheid/bstger_RR.2019.192</w:t>
      </w:r>
    </w:p>
    <w:p>
      <w:r>
        <w:t>FR: TPF RR.2019.192 du 16 janvier 2020</w:t>
      </w:r>
    </w:p>
    <w:p>
      <w:r>
        <w:t>IT: TPF RR.2019.192 del 16 gennaio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dell’8 luglio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rPr>
          <w:b/>
        </w:rPr>
        <w:t>E. 2</w:t>
      </w:r>
    </w:p>
    <w:p>
      <w:r>
        <w:t>La ricorrente sostiene che l’autorità rogante avrebbe già preannunciato la sua intenzione, dopo aver ottenuto l’assistenza sulla base del complemento rogato- riale del 23 aprile 2018 relativo al procedimento penale estero n. 5053877- 59.2017.4.04.7100, di utilizzare la documentazione ottenuta per un altro proce- dimento penale a carico di E., per il quale nessuna rogatoria sarebbe stata inol- trata. Tale utilizzo violerebbe il principio della specialità.</w:t>
      </w:r>
    </w:p>
    <w:p>
      <w:r>
        <w:t>- 5 -</w:t>
      </w:r>
    </w:p>
    <w:p>
      <w:r>
        <w:rPr>
          <w:b/>
        </w:rPr>
        <w:t>E. 2.1</w:t>
      </w:r>
    </w:p>
    <w:p>
      <w:r>
        <w:t>L’art. 13 del Trattato svizzero-brasiliano prevede che nello Stato richiedente, le informazioni, i documenti e gli oggetti ottenuti mediante assistenza giudiziaria non possono essere utilizzati ai fini di un’indagine, né prodotti come mezzi di prova in un procedimento penale relativo a un reato per il quale l’assistenza giudiziaria non è ammessa (n. 1). Giusta la cifra 2 di tale disposizione, qualsiasi altro uso sottostà all’assenso preventivo dell’Autorità centrale dello Stato richie- sto. Tale assenso non è necessario se: il fatto a cui si riferisce la domanda costituisce un’altra fattispecie penale per la quale può essere concessa l’assi- stenza giudiziaria (lett. a); il procedimento penale estero è diretto contro altre persone che hanno partecipato alla commissione del reato (lett. b); o il materiale è utilizzato per un’indagine o un procedimento riguardante il pagamento di un risarcimento correlato a un procedimento per il quale è stata accordata l’assi- stenza giudiziaria (lett. c).</w:t>
      </w:r>
    </w:p>
    <w:p>
      <w:r>
        <w:rPr>
          <w:b/>
        </w:rPr>
        <w:t>E. 2.2</w:t>
      </w:r>
    </w:p>
    <w:p>
      <w:r>
        <w:t>In concreto, occorre innanzitutto rilevare che il MPC ha chiaramente indicato nella decisione impugnata che la trasmissione dei mezzi di prova e delle infor- mazioni sottostà al principio della specialità (v. act. 1.2, pag. 8 e seg.), per cui vi è da attendersi dall’autorità rogante un utilizzo della documentazione litigiosa nell’ambito del procedimento penale per il quale il complemento rogatoriale è stato presentato. Ciò detto, si rileva che l’UFG, nella sua risposta del 30 agosto 2019, ha dichiarato che “per quanto riguarda la domanda di assistenza giudi- ziaria secondaria evocata dalla ricorrente relativa alla procedura AA., questo Ufficio precisa che la stessa è stata presentata separatamente da parte delle autorità brasiliane ed è già stata evasa da parte di questo Ufficio. L’UFG precisa inoltre a tale riguardo che tale domanda non verteva su documentazione riguar- dante la ricorrente” (v. act. 7). Visto quanto precede, la ventilata ipotesi di una violazione della riserva della specialità si rivela priva di qualsiasi fondamento e la relativa censura va disattesa.</w:t>
      </w:r>
    </w:p>
    <w:p>
      <w:r>
        <w:rPr>
          <w:b/>
        </w:rPr>
        <w:t>E. 3</w:t>
      </w:r>
    </w:p>
    <w:p>
      <w:r>
        <w:t>La ricorrente afferma che la decisione impugnata violerebbe anche il principio della proporzionalità, avendo il MPC concesso a torto all’autorità rogante, ossia in assenza di un’eccezione all'“Übermassverbot”, più di quanto da questa richie- sto, soprattutto tenuto conto del fatto che il procedimento penale alla base della rogatoria si troverebbe al suo stadio finale, ossia dopo la chiusura dell’istruzione e in attesa di giudizio. Dovesse anche la documentazione litigiosa suscitare l’in- teresse dell’autorità rogante, essa non avrebbe più nessuna utilità per il proce- dimento penale alla base della rogatoria, data l’impossibilità per l’autorità estera di compiere in tale ambito ulteriori atti istruttori.</w:t>
      </w:r>
    </w:p>
    <w:p>
      <w:r>
        <w:rPr>
          <w:b/>
        </w:rPr>
        <w:t>E. 3.1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w:t>
      </w:r>
    </w:p>
    <w:p>
      <w:r>
        <w:t>- 6 -</w:t>
      </w:r>
    </w:p>
    <w:p>
      <w:r>
        <w:t>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tutte le per- sone o entità giuridiche coinvolte (v. DTF 129 II 462 consid. 5.5; 124 II 180 con- sid. 3c inedito; 121 II 241 consid. 3b e c; sentenze del Tribunale federale 1A.177/2006 del 10 dicembre 2007 consid. 5.5; 1A.227/2006 del 22 febbraio 2007 consid. 3.2; 1A.195/2005 del 1° settembre 2005 in fine; sentenza del Tri- bunale penale federale RR.2016.250 del 17 febbraio 2017 consid. 2.1). La tras- missione dell'intera documentazione potrà evitare altresì che le autorità deb- bano inoltrare eventuali domande complementari (DTF 136 IV 82 consid. 4.1; 121 II 241 consid. 3; sentenza del Tribunale federale 1C_486/2008 dell'11 no- 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 detta utilità potenziale, secondo cui la consegna giusta l'art. 74 AIMP è esclusa soltanto per quei mezzi di prova certamente privi di rilevanza per il procedimen- 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 stano pregressi elementi concreti a sostegno dello stesso (DTF 125 II 65 con- sid. 6b/aa pag. 73 e rinvii). Questo modo di procedere non è consentito in am- bito di assistenza internazionale sia alla luce del principio della specialità che di quello della proporzionalità. Tale divieto si fonda semplicemente sul fatto che è inammissibile procedere a casaccio nella raccolta delle prove (DTF 113 Ib 257 consid. 5c).</w:t>
      </w:r>
    </w:p>
    <w:p>
      <w:r>
        <w:t>Il principio della proporzionalità impedisce all’autorità rogata di agire ultra petita, ovvero di andare oltre i provvedimenti postulati dall'autorità richiedente, conce-</w:t>
      </w:r>
    </w:p>
    <w:p>
      <w:r>
        <w:t>- 7 -</w:t>
      </w:r>
    </w:p>
    <w:p>
      <w:r>
        <w:t>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tutte le condizioni per concedere l'assistenza siano comunque adempiute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w:t>
      </w:r>
    </w:p>
    <w:p>
      <w:r>
        <w:rPr>
          <w:b/>
        </w:rPr>
        <w:t>E. 3.2</w:t>
      </w:r>
    </w:p>
    <w:p>
      <w:r>
        <w:t>In concreto, l’autorità rogante ha messo in evidenza come parte dei valori patri- moniali frutto delle sovrafatturazioni a danno della società statale venezuelana J. S/A siano stati versati su conti intestati a società riconducibili agli indagati all’estero (v. supra Fatti lett. A). Fra questi vi è il conto n. 10 presso la banca K., intestato alla società G. Corp., il cui avente diritto economico è l’indagato E. Dalla documentazione bancaria risultano flussi di denaro di presunta natura cor- ruttiva da tale conto verso le seguenti relazioni presso la banca K. (v. atto 01- 01-0045 e segg. incarto MPC): n. 1 intestata a L. Inc. (avente diritto economico Q.), n. 2 intestato a M. Corp. (avente diritto economico R.), n. 3 intestato a N. Corp. (avente diritto economico S.) e n. 4 intestato a O. SA (avente diritto economico T.). Gli aventi diritto economico di tali relazioni bancarie sono tutte persone attive presso J. S/A (v. atto 01-01-0042 incarto MPC). Ora, se è vero che l’autorità rogante, con il complemento del 23 aprile 2018, ha specificata- mente chiesto di poter ottenere la documentazione relativa alle quattro relazioni bancarie di cui sopra (v. atto 01-01-0053 incarto MPC), nulla può essere ecce- pito nei confronti del MPC per quanto riguarda la sua decisione di trasmettere anche la documentazione relativa alla relazione n. 9 presso la banca P. in liqui- dazione, intestata alla ricorrente, nella misura in cui tale relazione risulta desti- nataria di fondi provenienti proprio dalle quattro relazioni di cui sopra presso la banca K.. Tale modo di procedere, ossequioso del principio di celerità, in quanto permette di evitare domande complementari, è conforme alla giurisprudenza (v. supra consid. 3.1). Dovendo l’autorità estera ricostruire flussi patrimoniali di natura criminale, essa necessita di tutta la documentazione bancaria, per cui non può nemmeno essere accolta la richiesta sussidiaria della reclamante di trasmettere unicamente il formulario A del suo conto (v. ibidem). Come retta- mente osservato dal MPC (v. act. 8, pag. 5), il fatto che il procedimento penale estero si trovi al suo stadio finale nulla incide sulla prosecuzione dell’esecuzione della rogatoria. Non vi è del resto nessun motivo per ritenere conclusa l’assun- zione delle prove. Occorre infine rilevare che una rogatoria non ha più oggetto solo quando lo Stato richiedente la ritira espressamente o quando la procedura estera prende nel frattempo fine mediante una sentenza cresciuta in giudicato (v. DTF 113 Ib 157 consid. 5a; sentenza del Tribunale penale federale</w:t>
      </w:r>
    </w:p>
    <w:p>
      <w:r>
        <w:t>- 8 -</w:t>
      </w:r>
    </w:p>
    <w:p>
      <w:r>
        <w:t>RR.2007.99 del 10 settembre 2007 consid. 5; ZIMMERMANN, La coopération ju- diciaire internationale en matière pénale, 5a ediz. 2019, n. 305). In concreto, avendo l’autorità rogante, interpellata all’uopo (v. act. 1.15), confermato di vo- lere mantenere la propria domanda di assistenza (v. act. 1.16), la censura pre- sentata dalla reclamante in questo ambito va disattesa. In conclusione, potendo i beni patrimoniali presenti sulla relazione della ricorrente essere collegati con l’attività corruttiva oggetto delle indagini estere, l’utilità della documentazione litigiosa è certamente data.</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rPr>
          <w:b/>
        </w:rPr>
        <w:t>E. 4</w:t>
      </w:r>
    </w:p>
    <w:p>
      <w:r>
        <w:t>Da quanto sopra discende che la decisione impugnata va confermata e il gra- vame integralmente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