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RR.2019.190 vom 23. Januar 2020</w:t>
      </w:r>
    </w:p>
    <w:p>
      <w:r>
        <w:t>Bundesstrafgericht, 2020-01-23, DE</w:t>
      </w:r>
    </w:p>
    <w:p>
      <w:r>
        <w:rPr>
          <w:b/>
        </w:rPr>
        <w:t xml:space="preserve">Quelle: </w:t>
      </w:r>
      <w:r>
        <w:t>https://mcp.opencaselaw.ch/entscheid/bstger_RR.2019.190</w:t>
      </w:r>
    </w:p>
    <w:p>
      <w:r>
        <w:t>FR: TPF RR.2019.190 du 23 janvier 2020</w:t>
      </w:r>
    </w:p>
    <w:p>
      <w:r>
        <w:t>IT: TPF RR.2019.190 del 23 gennaio 2020</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Linie das Europäische Übereinkommen vom 20. April 1959 über die Rechtshilfe in Strafsachen (EUeR; SR 0.351.1) massgebend. Überdies gelangen die Best- immungen der Art. 48 ff. des Übereinkommens vom 19. Juni 1990 zur Durch- führung des Übereinkommens von Schengen vom 14. Juni 1985 (Schenge- ner Durchführungsübereinkommen, SDÜ; ABl. L 239 vom 22. September 2000, S. 19–62) zur Anwendung, wobei die zwischen den Vertragsparteien geltenden weitergehenden Bestimmungen aufgrund bilateraler Abkommen unberührt bleiben (Art. 48 Abs. 2 SDÜ).</w:t>
      </w:r>
    </w:p>
    <w:p>
      <w:r>
        <w:t>Zur Anwendung kommt vorliegend auch das Übereinkommen vom 8. No- vember 1990 über Geldwäscherei sowie Ermittlung, Beschlagnahme und Einziehung von Erträgen aus Straftaten (Geldwäschereiübereinkommen, GwUe; SR 0.311.53). Ebenso sind das Strafrechtsübereinkommen des Eu- roparates vom 27. Januar 1999 über Korruption (Europarat-Korruptions- Übereinkommen; SR 0.311.55), das hierzu ergangene Zusatzprotokoll vom 15. Mai 2003 (SR 0.311.551), das OECD-Übereinkommen vom 17. Dezem- ber 1997 über die Bekämpfung der Bestechung ausländischer Amtsträger im</w:t>
      </w:r>
    </w:p>
    <w:p>
      <w:r>
        <w:t>- 4 -</w:t>
      </w:r>
    </w:p>
    <w:p>
      <w:r>
        <w:t>internationalen Geschäftsverkehr (OECD-Bestechungs-Übereinkommen; SR 0.311.21; vgl. hierzu auch TPF 2009 111 E. 1.3) und Art. 43 ff. des Über- einkommens vom 31. Oktober 2003 der Vereinten Nationen gegen Korrup- tion (UN-Korruptions-Übereinkommen; SR 0.311.56) anwendbar (s. auch Entscheid des Bundesstrafgerichts RR.2012.28 vom 29. November 2012 E.1.1).</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Bundesgesetz vom 20. März 1981 über internationale Rechtshilfe in Strafsa- chen (IRSG; SR 351.1) und die dazugehörige Verordnung vom 24. Feb- ruar 1982 (IRSV; SR 351.11) anwendbar (Art. 1 Abs. 1 IRSG; BGE 143 IV 91 E. 1.3; BGE 136 IV 82 E. 3.2; 130 II 337 E. 1; vgl. auch Art. 54 StPO). Vorbehalten bleibt die Wahrung der Menschenrechte (BGE 139 II 65 E. 5.4 letzter Absatz; 135 IV 212 E. 2.3; 123 II 595 E. 7c).</w:t>
      </w:r>
    </w:p>
    <w:p>
      <w:r>
        <w:rPr>
          <w:b/>
        </w:rPr>
        <w:t>E. 1.3</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w:t>
      </w:r>
    </w:p>
    <w:p>
      <w:r>
        <w:rPr>
          <w:b/>
        </w:rPr>
        <w:t>E. 2.2</w:t>
      </w:r>
    </w:p>
    <w:p>
      <w:r>
        <w:t>Vorliegend führt der Kontoinhaber Beschwerde gegen die Schlussverfügung. Auf die im Übrigen form- und fristgerecht eingereichte Beschwerde ist daher einzutreten.</w:t>
      </w:r>
    </w:p>
    <w:p>
      <w:r>
        <w:t>- 5 -</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Der Beschwerdeführer rügt in einem ersten Punkt die Sachverhaltsdarstel- lung in der Schlussverfügung. Die Beschwerdegegnerin gehe davon aus, dass durch die in Frage kommende verdächtige Geldtransaktion vom 4. Ok- tober 2002 in der Höhe von EUR 58'700.-- vom Konto des Beschwerdefüh- rers auf das Konto von D. der Projektzuschlag zur Beschaffung von Hub- schraubern zugunsten von I. habe gesichert werden sollen. Diese Annahme sei jedoch falsch und zeige, dass der relevante Sachverhalt in casu weder im Rechtshilfeersuchen noch in der Schlussverfügung nachvollziehbar dar- gelegt worden sei. Der definitive Auftrag zur Beschaffung der vier Hub- schrauber des Typs Super Puma AS332C1 von der französischen Herstel- lerin I. sei gemäss Rechtshilfeersuchen bereits durch den Beschluss Nr. 2 vom 7. Dezember 1999 des griechischen Verteidigungsministers gesichert worden. Dieser Beschluss habe zum Abschluss des Hauptvertrages Nr. 3 zwischen I. und dem griechischen Staat, datiert vom 21. Dezember 2000, geführt. Mit diesem Vertrag sei der Kauf der Hubschrauber definitiv verein- bart worden. Entgegen den Ausführungen in der Schlussverfügung sei die Zahlung vom 4. Oktober 2002 objektiv keineswegs geeignet gewesen, den Projektzuschlag zur Beschaffung der Helikopter zu sichern. Auch bezüglich der Sachverhaltsdarstellung in der Schlussverfügung hinsichtlich einer Geld- summe von ca. EUR 300'000.-- bestünden Widersprüche und Unklarheiten. Gemäss Rechtshilfeersuchen sei diese Summe von B. und C. an D. verspro- chen worden. Demgegenüber werde in der Schlussverfügung ausdrücklich davon ausgegangen, dass diese Summe im Zeitraum zwischen 1996 bis 1998 tatsächlich von B. und C. an D. geleistet worden sei (act. 1 S. 11 ff.).</w:t>
      </w:r>
    </w:p>
    <w:p>
      <w:r>
        <w:rPr>
          <w:b/>
        </w:rPr>
        <w:t>E. 4.2</w:t>
      </w:r>
    </w:p>
    <w:p>
      <w:r>
        <w:t>Die Beschwerdekammer des Bundesstrafgerichts überprüft die Richtigkeit und die Vollständigkeit der Feststellung des rechtserheblichen Sachverhalts (Art. 49 lit. b VwVG). Der rechtserhebliche Sachverhalt ergibt sich im Rah- men der Gewährung der Rechtshilfe aus dem Rechtshilfeersuchen. Nicht jede fehlerhafte Feststellung des Sachverhalts führt zu einer Verletzung von Art. 49 lit. b VwVG, sondern nur soweit entscheidrelevante Tatsachen un- richtig oder unvollständig festgestellt werden.</w:t>
      </w:r>
    </w:p>
    <w:p>
      <w:r>
        <w:t>- 6 -</w:t>
      </w:r>
    </w:p>
    <w:p>
      <w:r>
        <w:rPr>
          <w:b/>
        </w:rPr>
        <w:t>E. 4.3</w:t>
      </w:r>
    </w:p>
    <w:p>
      <w:r>
        <w:t>Dem Rechtshilfeersuchen ist zu entnehmen, dass der ehemalige griechische Verteidigungsminister, J., mit Erlass Nr. 4 vom 7. Dezember 1999 den Ab- schluss eines Vertrages mit der französischen Gesellschaft I. über die Liefe- rung von vier Helikoptern AS332C1 Super Puma genehmigt habe. In der Folge sei es am 21. Dezember 2000 zum Abschluss des Vertrages Nr. 3 zwischen dem griechischen Staat und der Gesellschaft I. gekommen. Ge- genstand des Vertrages sei der Kauf von vier Helikoptern AS332C1 Super Puma und die Einräumung einer Kaufoption von zwei weiteren Hubschrau- bern zu einem Kaufpreis von insgesamt EUR 95'029'424.-- gewesen. Die griechischen Behörden gehen davon aus, dass C. und B. für die I. den Be- amten der griechischen Luftwaffe, D., E., F. und G., die Bezahlung eines Betrags von mindestens EUR 920'000.-- versprochen hätten, um den Zu- schlag für die Beschaffung der Helikopter für die I. zu sichern. Untersuchun- gen hätten gezeigt, dass in der Zeit vom 17. Oktober 2002 bis 22. November 2008 insgesamt EUR 5'499'871.-- auf das Konto der K. Ltd., einer Gesell- schaft von C. und B., bei der Bank L. in Jersey geflossen seien. Die Herkunft dieses Geld stamme von Bankkonten, die auf M., dem Inhaber und Aktionär der I., auf die N. und die O. gelautet hätten. C. und B. hätten in der Folge die Gelder über den Vermittler von D. an die Beamten der griechischen Luftwaffe weitergeleitet. Um die Realisierung der Helikopterbeschaffung voranzutrei- ben, seien D. von C. und B. im Zeitraum von November 1996 bis Juni 1998 die Bezahlung zusätzlicher EUR 300'000.-- versprochen worden. Es habe festgestellt werden können, dass am 4. Oktober 2002 auf ein von D. und dessen Töchtern lautendes Konto Nr. 5 bei der Bank P. eine Überweisung von EUR 58'700.-- erfolgt sei, und zwar von einem Konto bei der Bank H. mit dem Vermerk «Instructions Order A.». Ferner habe eine Überweisung vom 18. Oktober 2012 von EUR 300'000.-- auf ein ebenfalls bei der Bank P. auf D. und dessen Töchter lautendes Konto Nr. 6 festgestellt werden können. Diese sei von einem auf D. lautenden Konto Nr. 7 bei der Bank Q. erfolgt (Verfahrensakten Urk. 01.000-0019 ff.).</w:t>
      </w:r>
    </w:p>
    <w:p>
      <w:r>
        <w:rPr>
          <w:b/>
        </w:rPr>
        <w:t>E. 4.4</w:t>
      </w:r>
    </w:p>
    <w:p>
      <w:r>
        <w:t>Soweit in der Schlussverfügung ausgeführt wird, D. habe zwischen 1996 bis 1998 ca. EUR 300'000.-- für sich behalten können, findet sich dafür im Rechtshilfeersuchen keine Stütze. Erwähnt wird einzig, dass D. von C. und B. in der Zeit von November 1996 bis Juni 1998 eine Summe von EUR 300'000.-- versprochen worden sei. Auch die Darstellung in der Schlussverfügung, wonach der Verdacht bestehe, A. habe am 4. Okto- ber 2002 eine Bestechungssumme in der Höhe von EUR 58'700.-- an den Beschuldigten D. geleistet, damit der Projektzuschlag zur Beschaffung der Hubschrauber zugunsten von I. habe gesichert werden können, ergibt sich nicht so aus dem Rechtshilfeersuchen. Gemäss bindender Darstellung im</w:t>
      </w:r>
    </w:p>
    <w:p>
      <w:r>
        <w:t>- 7 -</w:t>
      </w:r>
    </w:p>
    <w:p>
      <w:r>
        <w:t>Rechtshilfeersuchen soll nämlich der Projektzuschlag bereits im Dezem- ber 1999 erfolgt sein. Es ist daher anzunehmen, die im Rechtshilfeersuchen als verdächtig aufgeführte Zahlung von EUR 58'700.-- sei erst nach dem Zu- schlag geleistet worden. So gehen denn die griechischen Behörden davon aus, dass die geldwerten Vorteile den Beamten zunächst versprochen wor- den seien, um den Projektzuschlag zu sichern, und die Bestechungszahlun- gen später, in der Zeit von 17. Oktober 2002 bis 22. November 2008, geleis- tet worden seien. Da Art. 322ter StGB denjenigen unter Strafe stellt, der ei- nem Amtsträger einen nicht gebührenden Vorteil anbietet, verspricht oder gewährt bzw. Art. 322quater StGB den Amtsträger bestraft, der einen nicht ge- bührenden Vorteil annimmt, sich versprechen lässt oder fordert, ist es für die Subsumption des Sachverhalts unter die prima facie in Frage kommenden Straftatbestände der Bestechung (Art. 322ter StGB) und des Sich-Bestechen- Lassens (Art. 322quater StGB) – und damit für die Frage der doppelten Straf- barkeit – jedoch unerheblich, wann D. die mutmasslich versprochenen Be- stechungsgelder von EUR 300'000.-- und EUR 58'700.-- ausbezahlt worden sind. Dieser Umstand ist auch für die Prüfung der anderen für die Gewährung der Rechtshilfe erforderlichen Voraussetzungen (i.c. Verhältnismässigkeit, siehe nachfolgende E. 5.3) nicht von Belang. Insofern ist die unrichtige Wie- dergabe des Sachverhalts in der Schlussverfügung nicht entscheidwesent- lich. Eine Verletzung von Art. 49 lit. b VwVG kann daher diesbezüglich nicht ausgemacht werden.</w:t>
      </w:r>
    </w:p>
    <w:p>
      <w:r>
        <w:rPr>
          <w:b/>
        </w:rPr>
        <w:t>E. 5.1</w:t>
      </w:r>
    </w:p>
    <w:p>
      <w:r>
        <w:t>Der Beschwerdeführer rügt in einem weiteren Punkt eine Verletzung des Verhältnismässigkeitsprinzips. Mangels inhaltlicher Konnexität zwischen dem Gegenstand der griechischen Strafuntersuchung und den von der Rechtshilfe betroffenen Unterlagen seien die zu übermittelnden Bankunter- lagen für das ausländische Verfahren mit Sicherheit nicht erheblich (act. 1 S. 7 ff.).</w:t>
      </w:r>
    </w:p>
    <w:p>
      <w:r>
        <w:rPr>
          <w:b/>
        </w:rPr>
        <w:t>E. 5.2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w:t>
      </w:r>
    </w:p>
    <w:p>
      <w:r>
        <w:t>- 8 -</w:t>
      </w:r>
    </w:p>
    <w:p>
      <w:r>
        <w:t>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Die Beschwerdegegnerin hat bereits im Rahmen der angefochtenen Schlussverfügung mit Hinweis auf in den Bankunterlagen selber enthaltenen Buchungsvorgänge überzeugend dargelegt, es bestehe der Verdacht, dass die Kundenbeziehung Nr. 1, lautend auf den Beschwerdeführer, bei der Bank H. einen objektiven Zusammenhang mit den zu untersuchenden Straf- taten hätte (vgl. Schlussverfügung Ziff. 3). Darauf kann ohne Weiteres ver- wiesen werden. Die Beschwerdegegnerin hat insbesondere festgestellt, dass der Beschwerdeführer gegenüber der Bank H. am 16. Oktober 2001 erklärt habe, er erwarte bis Ende Jahr eine Zahlung von GBP 500'000.--, sofern sich in der aktuellen Regierung Griechenlands nichts ändern werde. Dieser Betrag sei am 3. Oktober 2002 in zwei Transaktionen von der R. Ltd.,</w:t>
      </w:r>
    </w:p>
    <w:p>
      <w:r>
        <w:t>- 9 -</w:t>
      </w:r>
    </w:p>
    <w:p>
      <w:r>
        <w:t>Limassol, und der S. Ltd., Limassol, im Gesamtwert von EUR 715'828.-- auf das Konto des Beschwerdeführers bei der Bank H. überwiesen worden. Glei- chentags seien EUR 13'940.-- an T., EUR 35'215.-- auf ein Konto mit Code- name Nr. 8 bei der Bank AA. und die im Rechtshilfeersuchen erwähnten EUR 58'700.-- an D. auf dessen Konto Nr. 9 bei der Bank BB. weitertransfe- riert worden (act. 1.2 Ziff. 3). Ziel des Rechtshilfeersuchens ist die Ermittlung der Geldflüsse und der wirtschaftlich Berechtigten an den fraglichen Vermö- genswerten. Vor diesem Hintergrund sind die Kontounterlagen des Be- schwerdeführers potentiell geeignet, mögliche Geldflüsse im Zusammen- hang mit dem im Rechtshilfeersuchen geschilderten Sachverhalt aufzude- cken. Dabei ist die potentielle Erheblichkeit mit Bezug auf sämtliche das Konto des Beschwerdeführers betreffenden Unterlagen zu bejahen, und zwar für den ganzen Deliktszeitraum, d.h. von November 1996 bis Novem- ber 2008. Es entspricht der Rechtsprechung, dass die Behörden des ersu- chenden Staates grundsätzlich alle sichergestellten Aktenstücke zu übermit- teln haben, welche sich auf den im Ersuchen dargelegten Verdacht beziehen können. Dies gilt gerade dann, wenn das Rechtshilfeersuchen wie vorlie- gend, auf die Ermittlung abzielt, auf welchem Weg Geldmittel mutmasslich strafbarer Herkunft verschoben wurden. Ob dabei die vom Beschwerdefüh- rer auf das Konto von D. überwiesenen EUR 58'700.-- tatsächlich nicht de- liktischer Herkunft sind – wie vom Beschwerdeführer behauptet (vgl. act. 1 S. 8 f. und act. 12 S. 2) – ist nicht vom Rechtshilferichter zu prüfen. Diese Frage wird Gegenstand im griechischen Strafverfahren sein. Im Übrigen handelt es sich hierbei um eine im Rechtshilfeverfahren ohnehin unzulässige Gegendarstellung (BGE 132 II 81 E. 2.1). Soweit schliesslich der Beschwer- deführer pauschal und erstmals im Beschwerdeverfahren vorbringt, die Be- schwerdegegnerin habe keinerlei Triage vorgenommen, genügen diese Aus- führungen den Begründungsanforderungen nicht. Er ist mit dieser Rüge nicht zu hören. Eine Verletzung des Verhältnismässigkeitsprinzips kann nicht aus- gemacht werden.</w:t>
      </w:r>
    </w:p>
    <w:p>
      <w:r>
        <w:rPr>
          <w:b/>
        </w:rPr>
        <w:t>E. 6.1</w:t>
      </w:r>
    </w:p>
    <w:p>
      <w:r>
        <w:t>Der Beschwerdeführer macht weiter geltend, das griechische Strafgesetz- buch sei einer Totalrevision unterzogen worden. Die Bestimmungen des neuen Strafgesetzbuches seien am 1. Juli 2019 in Kraft getreten. Im Lichte dieser Modernisierung sei das Gesetz 1608/1950 ersatzlos abgeschafft wor- den. Das Rechtshilfeersuchen vom 30. Oktober 2017 stütze sich jedoch un- ter anderem auf dieses Gesetz (act. 1 S. 14 ff.; act. 12 S. 3 ff.).</w:t>
      </w:r>
    </w:p>
    <w:p>
      <w:r>
        <w:t>Soweit der Beschwerdeführer gestützt auf die geltend gemachte Gesetzes- änderung sinngemäss das Fehlen der doppelten Strafbarkeit begründen will, ist Folgendes festzuhalten: Die Vertragsparteien des EUeR können sich das</w:t>
      </w:r>
    </w:p>
    <w:p>
      <w:r>
        <w:t>- 10 -</w:t>
      </w:r>
    </w:p>
    <w:p>
      <w:r>
        <w:t>Recht vorbehalten, die Erledigung von Ersuchen um Durchsuchung oder Be- schlagnahme der Bedingung zu unterwerfen, dass die dem Ersuchen zu- grunde liegende strafbare Handlung sowohl nach dem Recht des ersuchen- den als auch nach dem des ersuchten Staates strafbar ist (Art. 5 Ziff. 1 lit. a EUeR). Die Schweiz hat für die Durchführung prozessualer Zwangsmass- nahmen eine entsprechende Erklärung angebracht. Art. 18 Ziff. 1 lit. f GwUe und Art. 46 Abs. 9 lit. b UNCAC unterwerfen die Anwendung prozessualer Zwangsmassnahmen einer entsprechenden Bedingung (vgl. Urteile des Bundesgerichts 1A.188/2005 vom 24. Oktober 2005 E. 2.3; 1C_126/2014 vom 16. Mai 2014 E. 4.4, nicht publiziert in BGE 140 IV 123). Im Anwen- dungsbereich des EUeR prüft die Schweiz die Strafbarkeit nach dem Recht des ersuchenden Staates nicht (Urteil des Bundesgerichts 2C_62/2011 vom</w:t>
      </w:r>
    </w:p>
    <w:p>
      <w:r>
        <w:rPr>
          <w:b/>
        </w:rPr>
        <w:t>E. 6.2</w:t>
      </w:r>
    </w:p>
    <w:p>
      <w:r>
        <w:t>Der Beschwerdeführer führt schliesslich aus, aufgrund der neuen Bestim- mungen könnten die in Frage kommenden Straftaten des Ersuchens (inkl. Geldwäscherei) wegen der (neuen) 15-jährigen Verjährungsfrist spätestens ab Ende Januar 2019 nicht mehr verfolgt werden. Der Beschwerdeführer verweist diesbezüglich auf ein Gutachten von CC., Professor an der juristi- schen Fakultät der Universität Athen (act. 12A).</w:t>
      </w:r>
    </w:p>
    <w:p>
      <w:r>
        <w:t>Hierzu ist festzuhalten, dass die Verjährung im Rechtshilfeverkehr zwischen Vertragsstaaten des EUeR infolge Fehlens einer ausdrücklichen Regelung im EUeR – was gemäss höchstrichterlicher Rechtsprechung als qualifiziertes Schweigen interpretiert wird – materiell nicht zu prüfen ist (BGE 136 IV 4 E. 6.3; 117 Ib 53 E. 3 S. 64; Urteil des Bundesgerichts 1C_511/2012 vom 17. Oktober 2012 E. 2.3; statt vieler: Entscheid des Bundesstrafgerichts RR.2018.305 vom 4. Februar 2019 E. 4.2 m.w.H).</w:t>
      </w:r>
    </w:p>
    <w:p>
      <w:r>
        <w:t>7. Die Beschwerde erweist sich nach dem Gesagten in all ihren Punkten als unbegründet und ist daher vollumfänglich abzuweisen.</w:t>
      </w:r>
    </w:p>
    <w:p>
      <w:r>
        <w:rPr>
          <w:b/>
        </w:rPr>
        <w:t>E. 8</w:t>
      </w:r>
    </w:p>
    <w:p>
      <w:r>
        <w:t>Bei diesem Ausgang des Verfahrens sind die Gerichtskosten dem Beschwer- deführer aufzuerlegen (Art. 63 Abs. 1 VwVG). Die Gerichtsgebühr ist auf Fr. 5‘000.-- festzusetzen (Art. 63 Abs. 5 VwVG i.V.m. Art. 73 StBOG sowie Art. 5 und 8 Abs. 3 lit. a BStKR), unter Anrechnung des in gleicher Höhe geleisteten Kostenvorschusses.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