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RR.2019.177 vom 19. September 2019</w:t>
      </w:r>
    </w:p>
    <w:p>
      <w:r>
        <w:t>Bundesstrafgericht, 2019-09-19, DE</w:t>
      </w:r>
    </w:p>
    <w:p>
      <w:r>
        <w:rPr>
          <w:b/>
        </w:rPr>
        <w:t xml:space="preserve">Quelle: </w:t>
      </w:r>
      <w:r>
        <w:t>https://mcp.opencaselaw.ch/entscheid/bstger_RR.2019.177</w:t>
      </w:r>
    </w:p>
    <w:p>
      <w:r>
        <w:t>FR: TPF RR.2019.177 du 19 septembre 2019</w:t>
      </w:r>
    </w:p>
    <w:p>
      <w:r>
        <w:t>IT: TPF RR.2019.177 del 19 settembre 2019</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massgebend das Europäische Übereinkommen über die Rechtshilfe in Strafsachen vom 20. April 1959 (EUeR; SR 0.351.1), dem beide Staaten bei- getreten sind, der zwischen ihnen abgeschlossene Zusatzvertrag vom 13. November 1969 (ZV-D/EUeR; SR 0.351.913.61), sowie die Bestimmun- gen der Art. 48 ff. des Übereinkommens vom 19. Juni 1990 zur Durchfüh- rung des Übereinkommens von Schengen vom 14. Juni 1985 (Schengener Durchführungsübereinkommen, SDÜ; ABl. L 239 vom 22. September 2000, S. 19–62).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La coopération judiciaire internationale en matière pénale, 5. Aufl. 2019, N. 229), sind das Rechtshilfegesetz und die dazugehörige Verordnung vom 24. Februar 1982 (IRSV; SR 351.11) anwendbar (Art. 1 Abs. 1 IRSG; BGE 143 IV 91 E. 1.3; 136 IV 82 E. 3.1; 130 II 337 E. 1, vgl. auch Art. 54 StPO). Vorbehalten bleibt die Wahrung der Menschenrechte (BGE 135 IV 212 E. 2.3; 123 II 595 E. 7c; ZIMMERMANN, a.a.O., N. 211 ff., 223 ff., 681 ff.). Auf das vorliegende Beschwerdeverfahren sind zudem anwendbar die Be- stimmungen des Bundesgesetzes vom 20. Dezember 1968 über das Ver- waltungsverfahren (Verwaltungsverfahrensgesetz, VwVG; SR 172.021;</w:t>
      </w:r>
    </w:p>
    <w:p>
      <w:r>
        <w:t>- 4 -</w:t>
      </w:r>
    </w:p>
    <w:p>
      <w:r>
        <w:t>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ih- rer Aufhebung oder Änderung hat (Art. 80h lit. b. IRSG; BGE 137 IV 134 E. 5 mit Übersicht über die Rechtsprechung; ZIMMERMANN, a.a.O., N. 524 bis 535).</w:t>
      </w:r>
    </w:p>
    <w:p>
      <w:r>
        <w:rPr>
          <w:b/>
        </w:rPr>
        <w:t>E. 2.2</w:t>
      </w:r>
    </w:p>
    <w:p>
      <w:r>
        <w:t>Der Beschwerdeführer ist zusammen mit D. Mitinhaber ("und/oder") der vor- liegenden Bankkundenbeziehung. Damit ist er zur Beschwerde gegen die Herausgabe der Kontounterlagen legitimiert. Auf die auch fristgerecht einge- reichte Beschwerde ist einzutreten.</w:t>
      </w:r>
    </w:p>
    <w:p>
      <w:r>
        <w:rPr>
          <w:b/>
        </w:rPr>
        <w:t>E. 3.1</w:t>
      </w:r>
    </w:p>
    <w:p>
      <w:r>
        <w:t>Der Beschwerdeführer rügt, dass die Schlussverfügung nicht geprüft habe, ob die herauszugebenden Unterlagen für die deutsche Strafuntersuchung potenziell erheblich seien (act. 1 S. 6 ff). So frage die Staatsanwaltschaft Konstanz, wie das Konto bei der Eröffnung am 17. Juni 2004 geäufnet wor- den sei. Zum einen seien Vorwürfe aus dem Jahr 2004 verjährt, zum anderen bestehe kein zeitlicher Zusammenhang mit dem Zeitraum des Ersuchens ab 1. Januar 2013. Das gleiche gelte für die Vermögensübersichten vom 31. Dezember 2012. Ebenso wenig zeige die Staatsanwaltschaft Konstanz Indizien dafür auf, dass die Kontoeröffnung im Jahr 2004 mit strafbaren Handlungen zusammenhänge. Das ergänzende Ersuchen sei eine verpönte Beweisausforschung. Das Erledigungsschreiben der Bank B. vom 11. Ja- nuar 2019 sei Bestandteil des rein innerstaatlichen Rechtshilfeverfahrens und daher ebenfalls nicht herauszugeben.</w:t>
      </w:r>
    </w:p>
    <w:p>
      <w:r>
        <w:rPr>
          <w:b/>
        </w:rPr>
        <w:t>E. 3.2</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w:t>
      </w:r>
    </w:p>
    <w:p>
      <w:r>
        <w:t>- 5 -</w:t>
      </w:r>
    </w:p>
    <w:p>
      <w:r>
        <w:t>(BGE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TPF 2009 161 E. 5; ZIMMER- MANN, a.a.O., N. 723).</w:t>
      </w:r>
    </w:p>
    <w:p>
      <w:r>
        <w:rPr>
          <w:b/>
        </w:rPr>
        <w:t>E. 3.3</w:t>
      </w:r>
    </w:p>
    <w:p>
      <w:r>
        <w:t>Tatsächlich prüft die Schlussverfügung der StA/SH vom 26. Juni 2019 zum ergänzenden Rechtshilfeersuchen vom 7. November 2018 die Verhältnis- mässigkeit der Rechtshilfe nicht. Schon die frühere Schlussverfügung vom</w:t>
      </w:r>
    </w:p>
    <w:p>
      <w:r>
        <w:rPr>
          <w:b/>
        </w:rPr>
        <w:t>E. 3.4</w:t>
      </w:r>
    </w:p>
    <w:p>
      <w:r>
        <w:t>Soweit dem Beschwerdeführer Verfahrenskosten aufzuerlegen sein werden, ist bei der Festlegung zu berücksichtigen, inwieweit das Beschwerdeverfah- ren für die Gewährung des rechtlichen Gehörs erforderlich war (vgl. TPF 2008 172 E. 6; BGE 137 I 195 E. 2.7 zur Kassation als Regel; Urteil des Bundesgerichts 1B_334/2018 vom 30. Juli 2018 E. 2.5 bis 2.6): Der Be- schwerdeführer äusserte sich am 14. Dezember 2018 zur Eintretensverfü- gung der StA/SH vom 30. November 2018. Die Bank edierte die Unterlagen danach, am 11. Januar 2019. Die StA/SH gab dem Beschwerdeführer vor Erlass der Schlussverfügung keine Gelegenheit, sich zur Herausgabe der erhobenen Bankunterlagen zu äussern. Dieser, anwaltlich vertreten, rügt dies im vorliegenden Verfahren allerdings auch nicht. Dazu kommt die feh- lende Begründung der Verhältnismässigkeit der Herausgabe (obige Erwä- gung 3.3).</w:t>
      </w:r>
    </w:p>
    <w:p>
      <w:r>
        <w:rPr>
          <w:b/>
        </w:rPr>
        <w:t>E. 3.5</w:t>
      </w:r>
    </w:p>
    <w:p>
      <w:r>
        <w:t>Entgegen den Vorbringen des Beschwerdeführers hat die StA/SH indes zu- recht nicht geprüft, ob die Verjährung eingetreten sei. Da sie weder im EUeR noch im ZV-D/EUeR enthalten ist, stellt sie gemäss ständiger Rechtspre- chung kein Rechtshilfehindernis dar (ZIMMERMANN, a.a.O., N. 670).</w:t>
      </w:r>
    </w:p>
    <w:p>
      <w:r>
        <w:rPr>
          <w:b/>
        </w:rPr>
        <w:t>E. 3.6</w:t>
      </w:r>
    </w:p>
    <w:p>
      <w:r>
        <w:t>Die Rügen des Beschwerdeführers gehen fehl. Die Beschwerde ist abzuwei- sen.</w:t>
      </w:r>
    </w:p>
    <w:p>
      <w:r>
        <w:rPr>
          <w:b/>
        </w:rPr>
        <w:t>E. 4</w:t>
      </w:r>
    </w:p>
    <w:p>
      <w:r>
        <w:t>Die materielle Prüfung der Beschwerde zeigt, dass die ausführende Behörde mit der Schlussverfügung das ergänzende Rechtshilfeersuchen nur teilweise zu beantworten scheint. So lautet eine Frage im Rechtshilfeersuchen, was die Begriffe "Vergütung", "Gutschrift" und "Rückzahlung" genau bedeuten würden. Die Bank antwortet darauf, dass sie gerne anhand von konkreten Transaktionen und auf weitere Anforderung Informationen gebe. Die ausfüh- rende Behörde lässt daraufhin 5 Monate verstreichen und erlässt ohne Wei- teres die Schlussverfügung – in einem Verfahren, in welchem das Thema der Verjährung aufgebracht wurde. Vorinstanz wie Aufsichtsbehörde erhal- ten von obigem mit Zustellung der vorliegenden Verfügung Kenntnis.</w:t>
      </w:r>
    </w:p>
    <w:p>
      <w:r>
        <w:rPr>
          <w:b/>
        </w:rPr>
        <w:t>E. 5</w:t>
      </w:r>
    </w:p>
    <w:p>
      <w:r>
        <w:t>Bei vorliegendem Ausgang des Verfahrens unterläge der Beschwerdeführer vollumfänglich und würde damit kostenpflichtig. In der Beschwerde rügt er indessen überwiegend die Verhältnismässigkeit der Rechtshilfe, zu welcher er sich bei der Vorinstanz nicht äussern konnte (vgl. obige Erwägung 3.4). Diese setzte sich damit auch nicht auseinander (vgl. obige Erwägung 3.3). Damit ist von der Erhebung von Gerichtskosten abzusehen.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