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RR.2019.174 vom 27. Dezember 2019</w:t>
      </w:r>
    </w:p>
    <w:p>
      <w:r>
        <w:t>Bundesstrafgericht, 2019-12-27, FR</w:t>
      </w:r>
    </w:p>
    <w:p>
      <w:r>
        <w:rPr>
          <w:b/>
        </w:rPr>
        <w:t xml:space="preserve">Quelle: </w:t>
      </w:r>
      <w:r>
        <w:t>https://mcp.opencaselaw.ch/entscheid/bstger_RR.2019.174</w:t>
      </w:r>
    </w:p>
    <w:p>
      <w:r>
        <w:t>FR: TPF RR.2019.174 du 27 décembre 2019</w:t>
      </w:r>
    </w:p>
    <w:p>
      <w:r>
        <w:t>IT: TPF RR.2019.174 del 27 dicembre 2019</w:t>
      </w:r>
    </w:p>
    <w:p>
      <w:pPr>
        <w:pStyle w:val="Heading2"/>
      </w:pPr>
      <w:r>
        <w:t>Regeste</w:t>
      </w:r>
    </w:p>
    <w:p>
      <w:r>
        <w:t>Entraide judiciaire internationale en matière pénale à l'Inde. Remise de moyens de preuve (art. 74 EIMP).</w:t>
      </w:r>
    </w:p>
    <w:p>
      <w:pPr>
        <w:pStyle w:val="Heading2"/>
      </w:pPr>
      <w:r>
        <w:t>Erwägungen</w:t>
      </w:r>
    </w:p>
    <w:p>
      <w:r>
        <w:rPr>
          <w:b/>
        </w:rPr>
        <w:t>E. 1.1</w:t>
      </w:r>
    </w:p>
    <w:p>
      <w:r>
        <w:t>L’entraide judiciaire entre l’Inde et la Confédération suisse est prioritairement régie par l’Echange de lettres du 20 février 1989 entre la Suisse et l’Inde concernant l’entraide judiciaire en matière pénale (RS 0.351.942.3), entré en vigueur le 20 février 1989 (cf. ATF 122 II 140 consid. 2).</w:t>
      </w:r>
    </w:p>
    <w:p>
      <w:r>
        <w:t>Les dispositions de ce traité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les art. 37 al. 2 let. a ch. 1 de la loi fédérale du 19 mars 2010 sur l’organisation des autorités pénales de la Confédération [LOAP; RS 173.71]).</w:t>
      </w:r>
    </w:p>
    <w:p>
      <w:r>
        <w:rPr>
          <w:b/>
        </w:rPr>
        <w:t>E. 1.3</w:t>
      </w:r>
    </w:p>
    <w:p>
      <w:r>
        <w:t>Le délai de recours contre la décision de clôture est de 30 jours dès la communication écrite de celle-ci (art. 80k EIMP). Déposés à un bureau de poste suisse le 24 juillet 2019, les recours, interjetés contre des actes notifiés le 25 juin 2019 précédent, sont intervenus en temps utile.</w:t>
      </w:r>
    </w:p>
    <w:p>
      <w:r>
        <w:rPr>
          <w:b/>
        </w:rPr>
        <w:t>E. 1.4</w:t>
      </w:r>
    </w:p>
    <w:p>
      <w:r>
        <w:t>En l’espèce, B. Ltd. et A. SA se sont vu fixer un délai supplémentaire au</w:t>
      </w:r>
    </w:p>
    <w:p>
      <w:r>
        <w:rPr>
          <w:b/>
        </w:rPr>
        <w:t>E. 1.4.1</w:t>
      </w:r>
    </w:p>
    <w:p>
      <w:r>
        <w:t>B. Ltd. a certes fait parvenir à temps les précisions relatives à l’identité des signataires de la procuration (act. 6.1 et 6.2). En revanche, l’attestation de l’existence de la société recourante au jour du dépôt du recours n’est parvenue à la Cour qu’après le délai imparti pour le faire, sans qu’une demande de prolongation n’ait été requise. Son recours est donc irrecevable.</w:t>
      </w:r>
    </w:p>
    <w:p>
      <w:r>
        <w:t>- 5 -</w:t>
      </w:r>
    </w:p>
    <w:p>
      <w:r>
        <w:rPr>
          <w:b/>
        </w:rPr>
        <w:t>E. 1.4.2</w:t>
      </w:r>
    </w:p>
    <w:p>
      <w:r>
        <w:t>A. SA a, pour sa part, fait parvenir dans les temps les documents requis (act. 6).</w:t>
      </w:r>
    </w:p>
    <w:p>
      <w:r>
        <w:rPr>
          <w:b/>
        </w:rPr>
        <w:t>E. 1.5</w:t>
      </w:r>
    </w:p>
    <w:p>
      <w:r>
        <w:t>S’agissant de la qualité pour recourir de A. SA, il faut rappeler qu’aux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et b OEIMP reconnaît qu’est notamment réputé personnellement et directement touché au sens de l’art. 21 al. 3 et 80h EIMP, en cas d’informations sur un compte, le titulaire du compte ainsi que le propriétaire ou le locataire en cas de perquisition (v. notamment arrêt du Tribunal pénal fédéral RR.2015.135 – 136 du</w:t>
      </w:r>
    </w:p>
    <w:p>
      <w:r>
        <w:rPr>
          <w:b/>
        </w:rPr>
        <w:t>E. 1.6</w:t>
      </w:r>
    </w:p>
    <w:p>
      <w:r>
        <w:t>Il y a lieu d’entrer en matière sur le recours concernant A. SA.</w:t>
      </w:r>
    </w:p>
    <w:p>
      <w:r>
        <w:t>2. Dans un grief qu’il convient de traiter en premier lieu compte tenu de sa nature formelle (ATF 137 I 195 consid. 2.2), la recourante se plaint d’une violation de son droit d‘être entendue, au sens de l’art. 29 al. 2 de la Constitution fédérale de la Confédération du 18 avril 1999 (Cst.; RS 101) (act. 1, p. 19 ss). Le MP-GE aurait rendu une décision de clôture succincte et « n’examinant aucunement les arguments soulevés par [la recourante] ».</w:t>
      </w:r>
    </w:p>
    <w:p>
      <w:r>
        <w:t>2.1 L’art. 29 al. 2 Cst.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t>2.2 La recourante considère dans un premier grief en lien avec la violation du droit d’être entendu, que le MP-GE n’a pas suffisamment motivé sa décision et ne s’est pas déterminé quant aux arguments essentiels qu’elle a soulevés (act. 1, p. 22).</w:t>
      </w:r>
    </w:p>
    <w:p>
      <w:r>
        <w:t>2.3 La jurisprudence a tiré du droit d’être entendu l’obligation pour l’autorité de motiver ses décisions. La motivation a pour but de permettre au justiciable</w:t>
      </w:r>
    </w:p>
    <w:p>
      <w:r>
        <w:t>- 7 -</w:t>
      </w:r>
    </w:p>
    <w:p>
      <w:r>
        <w:t>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RR.2017.42-43-44-45-46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Le droit d’être entendu comporte également le droit des parties à s’expliquer avant qu’une décision ne soit prise à leur détriment (ATF 135 II 286 consid. 5.1 et références citées; 129 II 497 consid. 2.2; 129 I 85 consid. 4.1). Un déni de justice formel, prohibé par l’art. 29 al. 2 Cst., a lieu lorsque l’autorité omet de se prononcer sur des griefs qui présentent une certaine pertinence ou de prendre en considération des allégués et arguments importants pour la décision à rendre (ATF 141 V 557 consid. 3.2.1 et références citées; 135 I 6 consid. 2.1; 135 I 229 consid. 2.3; 133 II 235 consid. 5.2 p. 248; 126 I 97 consid. 2b; arrêt du Tribunal fédéral 1B_120/2014 précité consid. 2.1).</w:t>
      </w:r>
    </w:p>
    <w:p>
      <w:r>
        <w:t>2.4 Lorsqu’une violation du droit d’être entendu est commise par l’autorité d’exécution, la procédure de recours auprès de la Cour de céans permet, en principe, la réparation (arrêts du Tribunal fédéral 1C_703/2017 du 8 janvier 2018 consid. 3; 1C_168/2016 du 22 avril 2016 consid. 1.3.2; arrêt du Tribunal fédéral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w:t>
      </w:r>
    </w:p>
    <w:p>
      <w:r>
        <w:t>- 8 -</w:t>
      </w:r>
    </w:p>
    <w:p>
      <w:r>
        <w:t>d’un vice procédural est également envisageable, même en présence d’un vice grave, lorsque le renvoi à l’autorité inférieur constitue une vaine formalité, qui provoque un allongement inutile de la procédure, et qui est incompatible avec l’intérêt de la partie concernée à ce que sa cause soit tranchée dans un délai raisonnable (v. art. 17a EIMP; arrêt du Tribunal fédéral 6B_510/2018 du 31 juillet 2018 consid. 2.2.1; ATF 142 II 218 consid. 2.8.1 et références citées; arrêt du Tribunal pénal fédéral BB.2012.192 du 25 avril 2013 consid. 2.5). Des limites au-delà desquelles la violation du droit d’être entendu ne peut plus être réparée ou toutefois été fixées par la jurisprudence. Ainsi, lorsque l’autorité méconnaît systématiquement la portée du droit d’être entendu, se défaussant par la même occasion sur l’autorité de recours (arrêts du Tribunal pénal fédéral RR.2015.278 du 16 décembre 2015 consid. 2.1.3; RR.2015.139 du 16 octobre 2015 consid. 2.5; ZIMMERMANN, La coopération judiciaire internationale en matière pénale, 5e éd. 2019, n° 472, p. 509 – 510).</w:t>
      </w:r>
    </w:p>
    <w:p>
      <w:r>
        <w:t>2.5 In casu, il sied de relever que, même si la décision de clôture du MP-GE du 21 juin 2019 est motivée très sommairement, elle respecte les exigences légales puisqu’elle expose les motifs justifiant la transmission de la documentation bancaire aux autorités indiennes. Le MP-GE relève ainsi qu’il aurait joint ces pièces à son premier envoi s’il en avait eu connaissance à ce moment-là dans la mesure où la documentation visée concerne des éléments identifiés par l’autorité requérante dans sa propre instruction de manière directe ou indirecte avec C.; sa transmission permettra ainsi aux autorités indiennes de poursuivre leurs investigations en amont et en aval (act. 1.3, p. 1). La motivation des autorités genevoises doit dès lors être considérée comme suffisante et le grief tiré de la violation du droit d’être entendu, sous cet angle, rejeté.</w:t>
      </w:r>
    </w:p>
    <w:p>
      <w:r>
        <w:t>2.6 Dans un deuxième grief relatif à la violation du droit d’être entendu, la recourante considère que le MP-GE ne s’est pas prononcé sur la question de l’intérêt à transmettre à l’autorité requérante toute sa documentation bancaire « en vrac » (act. 1, p. 24).</w:t>
      </w:r>
    </w:p>
    <w:p>
      <w:r>
        <w:t>2.7 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w:t>
      </w:r>
    </w:p>
    <w:p>
      <w:r>
        <w:t>- 9 -</w:t>
      </w:r>
    </w:p>
    <w:p>
      <w:r>
        <w:t>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t>2.8 En l’occurrence, il ressort du dossier que la recourante a eu la possibilité de s’exprimer sur les pièces que le MP-GE entendait transmettre à l’Etat requérant (act. 1.22, p. 7). En outre, les déterminations qu’elle a adressées pour ce faire au MP-GE le 20 juin 2019 attestent du fait que les pièces en question étaient numérotées. Dès lors, il faut admettre que cette dernière a pu, comme l’exige la jurisprudence précitée, faire valoir pièce par pièce ses arguments contre la transmission de la documentation aux autorités indiennes. Au vu de ce qui précède, force est de conclure que le MP-GE a bien procédé au tri des pièces, afin d’apprécier lesquelles pouvaient présenter un intérêt pour l’enquête étrangère. Ce n’est de plus pas parce</w:t>
      </w:r>
    </w:p>
    <w:p>
      <w:r>
        <w:t>- 10 -</w:t>
      </w:r>
    </w:p>
    <w:p>
      <w:r>
        <w:t>que l’autorité d’exécution transmet l’intégralité des pièces sollicitées et obtenues par les établissements bancaires que l’on peut en déduire l’absence de tout tri de sa part. En effet, dans la mesure où les principes exposés ci-dessus sont respectés (supra, consid. 2.7) et que l’ensemble des pièces présente un intérêt pour l’enquête étrangère, rien n’empêche de remettre les documents tels que transmis par les établissements bancaires. Il s’ensuit que le tri des pièces a été effectué correctement de sorte que, sous cet aspect également, le grief relatif à la violation du droit d’être entendu doit être rejeté.</w:t>
      </w:r>
    </w:p>
    <w:p>
      <w:r>
        <w:t>3. La recourante se plaint également d’une violation du principe de la proportionnalité. Elle estime que les autorités indiennes n’auraient pas requis la transmission de documentation bancaire, mais uniquement la saisie d’avoirs – déposés sur des comptes autres que ceux objets des décisions litigieuses. En outre, certaines pièces dont la transmission a été ordonnée ne présenteraient, matériellement et/ou temporellement, aucun lien avec la procédure pénale menée en Inde.</w:t>
      </w:r>
    </w:p>
    <w:p>
      <w:r>
        <w:t>3.1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31;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 utilité potentielles » joue, en outre, un rôle crucial dans l’application du principe de la proportionnalité en matière d’entraide pénale internationale (ATF 122 II 367 consid. 2c et les références citées). C’est le propre de l’entraide de favoriser la découverte de faits, d’informations et de moyens de preuve, y compris ceux dont l’autorité de poursuite étrangère ne soupçonne pas l’existence. Il ne s’agit pas seulement d’aider l’Etat requérant à prouver des</w:t>
      </w:r>
    </w:p>
    <w:p>
      <w:r>
        <w:t>- 11 -</w:t>
      </w:r>
    </w:p>
    <w:p>
      <w:r>
        <w:t>faits révélés par l’enquête qu’il conduit, mais d’en dévoiler d’autres, s’ils existent. Il en découle, pour l’autorité un devoir d’exhaustivité, qui justifie de communiquer tous les éléments qu’elle a réunis, propres à servir l’enquête étrangère, afin d’éclairer dans tous les aspects les rouages du mécanisme délictueux poursuivi dans l’Etat requérant (arrêts du Tribunal pénal fédéral RR.2015.314 du 24 février 2016 consid. 2.2; RR.2010.173 du 13 octobre 2010 consid. 4.2.4/a et RR.2009.320 du 2 février 2010 consid. 4.1; ZIMMERMANN, op. cit., p. 798 ss).</w:t>
      </w:r>
    </w:p>
    <w:p>
      <w:r>
        <w:t>3.2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charges, mais également à décharge (ATF 118 Ib 547 consid. 3a; arrêt du Tribunal fédéral 1A.88/2006 du 22 juin 2006 consid. 5.3; arrêts du Tribunal pénal fédéral RR.2013.231 du 23 octobre 2013 consid. 4.1 et références citées; RR.2008.287 du 9 avril 2009 consid. 2.2.4 et la jurisprudence citée). En outre,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3.3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 2018.88-89 du</w:t>
      </w:r>
    </w:p>
    <w:p>
      <w:r>
        <w:t>- 12 -</w:t>
      </w:r>
    </w:p>
    <w:p>
      <w:r>
        <w:rPr>
          <w:b/>
        </w:rPr>
        <w:t>E. 5</w:t>
      </w:r>
    </w:p>
    <w:p>
      <w:r>
        <w:t>août 2019 par la Cour de céans pour livrer des documents complémentaires attestant de leur capacité à ester en justice. Dans son courrier, la Cour de céans a bien précisé que le non-respect du délai supplémentaire accordé aux recourantes conduirait à déclarer le recours irrecevable (act. 3).</w:t>
      </w:r>
    </w:p>
    <w:p>
      <w:r>
        <w:rPr>
          <w:b/>
        </w:rPr>
        <w:t>E. 7</w:t>
      </w:r>
    </w:p>
    <w:p>
      <w:r>
        <w:t>janvier 2016 consid. 1.3). En revanche, celui qui n’est atteint que de manière indirecte ou médiate ne bénéficie pas d’une telle protection (arrêt du Tribunal pénal fédéral RR.2008.100 – 101 du 18 décembre 2008 consid. 1.7.1 et la jurisprudence citée).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(ATF 139 IV 137 consid. 5.13; arrêt du Tribunal fédéral 1C_624/2014 du 18 février 2015 consid. 1.2; TPF 2007 79 consid. 1.6.3 et les références citées). Ce principe a été tempéré par la jurisprudence, notamment dans deux cas. Une des exceptions est réalisée lorsque l’autorité d’exécution envisage de transmettre des documents bancaires ou des procès-verbaux contenant des informations bancaires (art. 9a let. a OEIMP; ATF 124 II 180 consid. 2b; arrêt du Tribunal pénal fédéral RR.2014.106 – 109 du 3 novembre 2014 consid. 1.5.1).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(arrêt du Tribunal fédéral 1A.243/2006 du 4 janvier 2007 consid. 1.2; arrêts du Tribunal pénal fédéral RR.2014.103 du</w:t>
      </w:r>
    </w:p>
    <w:p>
      <w:r>
        <w:rPr>
          <w:b/>
        </w:rPr>
        <w:t>E. 9</w:t>
      </w:r>
    </w:p>
    <w:p>
      <w:r>
        <w:t>mai 2018 consid. 4.2; arrêts du Tribunal fédéral 1A.259/2006 du 26 janvier 2007 consid. 2.2; 1A.75/2006 du 20 juin 2006 consid. 3.2).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109Ib 60 consid. 5a p. 63 et renvois).</w:t>
      </w:r>
    </w:p>
    <w:p>
      <w:r>
        <w:t>3.4 Dans ce même complexe de fait, la Cour de céans dans son arrêt du 15 novembre 2018 (arrêt du Tribunal pénal fédéral RR.2018.257-259 + RR.2018.260-261) a admis qu’il existait un lien entre la documentation litigieuse et C. , bien que celui-ci puisse être considéré comme indirect. Elle a également rappelé que lorsque l’entraide doit être accordée, il revient à l’autorité recourante d’apprécier la pertinence des documents transmis pour son enquête et non à l’autorité d’exécution. Par ailleurs, dans le cas d’espèce, l’autorité d’exécution s’est tenue au principe selon lequel elle doit interpréter la demande selon le sens que l’on peut raisonnablement lui donner dans le but notamment d’éviter le dépôt de demandes complémentaires. Ainsi, toutes les conditions pour accorder l’entraide étaient données et aucune violation du principe de la proportionnalité ne peut être retenue.</w:t>
      </w:r>
    </w:p>
    <w:p>
      <w:r>
        <w:t>3.5 En l’espèce, contrairement à ce que soutient la recourante, même si le nom de C. n’apparait qu’une seule fois dans les documents relatifs à A. SA, cela suffit à en faire des éléments de preuve pertinents pour les autorités indiennes. En l’occurrence, C. est évoqué dans un document daté de 2000 dont il ressort qu’il est l’ayant droit économique de fonds (à savoir pour un montant de USD 150'211.05) crédités sur le compte dont A. SA est la titulaire et l’ayant droit économique (dossier électronique du MP-GE, doc A 1.7). Il est également évoqué dans une autre pièce qui fait état d’un prêt de £ 500'000 accordé par A. SA à l’écurie de Formule 1 L., dont le détenteur était C. (dossier électronique du MP-GE, doc A 1.7). Cela permet d’établir que la recourante et le prévenu dans l’enquête indienne ne sont pas étrangers entre eux et ont nourri des contacts. En outre, étant donné que le nom du prévenu était en relation avec le compte de la recourante à partir de 2000, cela justifie d’élargir la fenêtre temporelle pour les documents à</w:t>
      </w:r>
    </w:p>
    <w:p>
      <w:r>
        <w:t>- 13 -</w:t>
      </w:r>
    </w:p>
    <w:p>
      <w:r>
        <w:t>transmettre dont l’utilité potentielle est indiscutable.</w:t>
      </w:r>
    </w:p>
    <w:p>
      <w:r>
        <w:t>La recourante invoque par ailleurs que plusieurs documents qui devraient être transmis contiennent des noms qui, selon elle, n’ont rien à voir avec l’affaire en cause. Elle souligne en effet que le compte concerné est un de ses comptes opérationnels qui a servi au paiement de loyers, de frais et dépens, de versements de salaires à ses employés ainsi qu’à procéder à des investissements ou recevoir des dividendes. En outre, le compte aurait été ouvert pour la poursuite des activités déployées pour le compte de ses nombreux clients. Elle invoque à ce titre le secret d’affaire. A cet égard, il faut rappeler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(cf. ég. art. 171 CPP). L'intérêt au secret d'affaires peut toutefois prévaloir au terme de la pesée d'intérêts commandée par le principe de la proportionnalité (arrêt du Tribunal fédéral 1C_247/2011 du 6 juin 2011 consid. 1.3). En l'espèce, la recourante ne fait valoir aucun motif qui l'autoriserait à refuser de témoigner. Il ressort ainsi de ce qui précède que le grief soulevé pourrait alors être abordé uniquement sous l'angle de la proportionnalité. Toutefois, tel que précédemment évoqué rien ne s'oppose sous l'angle de ce principe à la remise des pièces concernées aux autorités requérantes. Aussi, les intérêts privés au secret d'affaire ne sauraient en l'espèce l'emporter sur la transmission de documents nécessaires à l'élucidation d'une infraction aussi grave que la corruption. Partant, en ordonnant la transmission de ces documents à l'Etat requérant, la décision querellée ne saurait prêter le flanc à la critique.</w:t>
      </w:r>
    </w:p>
    <w:p>
      <w:r>
        <w:t>Le grief de la violation du principe de la proportionnalité est donc mal fondé.</w:t>
      </w:r>
    </w:p>
    <w:p>
      <w:r>
        <w:t>4. Compte tenu de ce qui précède, le recours de B. Ltd. est déclaré irrecevable et le recours de A. SA est rejeté.</w:t>
      </w:r>
    </w:p>
    <w:p>
      <w:r>
        <w:t>5. Vu l’issue du litige, les frais de procédure comprenant l’émolument d‘arrêté, les émoluments de chancellerie et les débours seront mis à la charge des recourantes qui succombent (art. 63 al. 1 PA,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w:t>
      </w:r>
    </w:p>
    <w:p>
      <w:r>
        <w:t>- 14 -</w:t>
      </w:r>
    </w:p>
    <w:p>
      <w:r>
        <w:t>de chancellerie, les intéressées supporteront solidairement les frais du présent arrêt, lesquels sont fixés dans l’ensemble à CHF 8'000.--. Ce montant est intégralement couvert par l’avance de frais versée au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