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RR.2019.172 vom 28. Januar 2020</w:t>
      </w:r>
    </w:p>
    <w:p>
      <w:r>
        <w:t>Bundesstrafgericht, 2020-01-28, FR</w:t>
      </w:r>
    </w:p>
    <w:p>
      <w:r>
        <w:rPr>
          <w:b/>
        </w:rPr>
        <w:t xml:space="preserve">Quelle: </w:t>
      </w:r>
      <w:r>
        <w:t>https://mcp.opencaselaw.ch/entscheid/bstger_RR.2019.172</w:t>
      </w:r>
    </w:p>
    <w:p>
      <w:r>
        <w:t>FR: TPF RR.2019.172 du 28 janvier 2020</w:t>
      </w:r>
    </w:p>
    <w:p>
      <w:r>
        <w:t>IT: TPF RR.2019.172 del 28 gennaio 2020</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S’appliquent aussi à l’entraide pénale entre ces deux États, les art. 48 ss de la Convention d'application de l'Accord de Schengen du 14 juin 1985 (CAAS; n° CELEX 42000A0922[02]; Journal officiel de l'Union européenne L 239 du 22 septembre 2000, p. 19-62; v. arrêt du Tribunal pénal</w:t>
      </w:r>
    </w:p>
    <w:p>
      <w:r>
        <w:t>- 6 -</w:t>
      </w:r>
    </w:p>
    <w:p>
      <w:r>
        <w:t>fédéral RR.2008.98 du 18 décembre 2008 consid. 1.3) ainsi que les dispositions pertinentes de l’Accord de coopération entre la Confédération suisse, d’une part, et la Communauté européenne et ses États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[«accords bilatéraux II»] in FF 2004 5593, 5807-5827), appliquée provisoirement par la Suisse et la France dès le 8 avril 2009.</w:t>
      </w:r>
    </w:p>
    <w:p>
      <w:r>
        <w:t>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elles des normes internationales (v. art. 48 ch. 2 CAAS et art. 39 ch. 2 CBl).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w:t>
      </w:r>
    </w:p>
    <w:p>
      <w:r>
        <w:t>- 7 -</w:t>
      </w:r>
    </w:p>
    <w:p>
      <w:r>
        <w:t>consid. 1; RR.2008.216+RR.2008.225-230 du 20 novembre 2008 consid. 1.2; MOSER/BEUSCH/KNEUBÜHLER, Prozessieren vor dem Bundesverwaltungsgericht, 2e éd. 2013, § 3.17, p. 144 s.).</w:t>
      </w:r>
    </w:p>
    <w:p>
      <w:r>
        <w:t>En l’espèce, il se justifie de joindre les causes RR.2019.172 et RR.2019.173, ce d’autant que la recourante le requiert expressément, qu’elle ne fait pas valoir d’intérêts contradictoires qui commanderaient un prononcé séparé, que ses recours ont un contenu similaire, que les griefs soulevés sont quasi identiques, qu’elle est représentée par le même avocat et que les décisions de clôture partielle entreprises concernent les mêmes faits objet de l’enquête française.</w:t>
      </w:r>
    </w:p>
    <w:p>
      <w:r>
        <w:rPr>
          <w:b/>
        </w:rPr>
        <w:t>E. 1.4</w:t>
      </w:r>
    </w:p>
    <w:p>
      <w:r>
        <w:t>Le délai de recours contre les décisions de clôture partielle du 20 juin 2019 est de 30 jours dès la communication écrite de celles-ci (art. 80k EIMP). Interjetés le 22 juillet 2019 contre des décisions notifiées le 21 juin précédent, les recours ont été interposés en temps utile.</w:t>
      </w:r>
    </w:p>
    <w:p>
      <w:r>
        <w:rPr>
          <w:b/>
        </w:rPr>
        <w:t>E. 1.5.1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l'État requérant d'informations relatives à ce compte (v. ATF 137 IV 134 consid. 5; 118 Ib 547 consid. 1d).</w:t>
      </w:r>
    </w:p>
    <w:p>
      <w:r>
        <w:rPr>
          <w:b/>
        </w:rPr>
        <w:t>E. 1.5.2</w:t>
      </w:r>
    </w:p>
    <w:p>
      <w:r>
        <w:t>In casu, A. SA, en tant que titulaire des relations bancaires auprès des banques G. et H., dispose de la qualité pour s’opposer à la transmission à l’autorité requérante de la documentation visée par les décisions de clôture partielle du MP-GE du 20 juin 2019.</w:t>
      </w:r>
    </w:p>
    <w:p>
      <w:r>
        <w:rPr>
          <w:b/>
        </w:rPr>
        <w:t>E. 1.6</w:t>
      </w:r>
    </w:p>
    <w:p>
      <w:r>
        <w:t>Les recours sont ainsi recevables et il y a lieu d’entrer en matière.</w:t>
      </w:r>
    </w:p>
    <w:p>
      <w:r>
        <w:rPr>
          <w:b/>
        </w:rPr>
        <w:t>E. 2</w:t>
      </w:r>
    </w:p>
    <w:p>
      <w:r>
        <w:t>Dans un grief qu'il convient de traiter en premier lieu compte tenu de sa nature formelle (ATF 137 I 195 consid. 2.2), la recourante allègue la violation de son droit d’être entendue sous divers aspects. Elle reproche aux autorités genevoises de ne pas lui avoir donné un délai suffisant pour se déterminer quant à la transmission des pièces aux autorités françaises, de ne pas lui avoir remis certaines « pièces décisives » du dossier et d’avoir insuffisamment motivé ses décisions (RR.2019.172+RR.2019.173, act. 1, p. 7, 8).</w:t>
      </w:r>
    </w:p>
    <w:p>
      <w:r>
        <w:t>- 8 -</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t>Il convient d’examiner les divers griefs soulevés sous ce chapitre par la recourante.</w:t>
      </w:r>
    </w:p>
    <w:p>
      <w:r>
        <w:rPr>
          <w:b/>
        </w:rPr>
        <w:t>E. 2.1.1</w:t>
      </w:r>
    </w:p>
    <w:p>
      <w:r>
        <w:t>Cette dernière reproche à l’autorité d’exécution, d’une part, de ne lui avoir octroyée que 3 jours pour se déterminer quant à la transmission de la documentation la concernant puisqu’elle n’a reçu le dossier de la procédure – dépourvu de certaines pièces comme la décision d’entrée en matière – que le 17 juin 2019 alors que le MP-GE a rendu la décision de clôture le 20 juin suivant (RR.2019.172+RR.2019.173, act. 1, p. 7, 8). D’autre part, elle souligne n’avoir pas pu prendre position s’agissant du courrier de la banque G. du 7 juin 2019 et de ses annexes, car le MP-GE a ordonné la transmission de ces pièces le même jour – 20 juin 2019 – où il l’invitait à se déterminer.</w:t>
      </w:r>
    </w:p>
    <w:p>
      <w:r>
        <w:rPr>
          <w:b/>
        </w:rPr>
        <w:t>E. 2.1.1.1</w:t>
      </w:r>
    </w:p>
    <w:p>
      <w:r>
        <w:t>Parmi les concrétisations du droit d’être entendu, il y a le droit des parties à s’exprimer sur les éléments pertinents avant qu’une décision touchant leur situation juridique ne soit prise (ATF 135 II 286 consid. 5.1 et références citées; 129 II 497 consid. 2.2; 129 I 85 consid. 4.1). Le droit de consulter le dossier est dès lors un des aspects du droit d'être entendu (ATF 126 I 7 consid. 2b et les arrêts cités). En matière d'entraide judiciaire, ce droit est mis en œuvre, entre autres, par l'art. 80b EIMP et par les art. 26 et 27 de la loi fédérale sur la procédure administrative du 20 décembre 1968 (PA; RS 172.021, applicable par renvoi de l'art. 12 al. 1 EIMP et de l'art. 39 al. 2 let. b LOAP). Ces dispositions permettent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w:t>
      </w:r>
    </w:p>
    <w:p>
      <w:r>
        <w:t>- 9 -</w:t>
      </w:r>
    </w:p>
    <w:p>
      <w:r>
        <w:t>considération pour fonder sa décision; dès lors il lui est interdit de se référer à des pièces dont les parties n'ont eu aucune connaissance (art. 26 al. 1 let. a, b et c PA; ATF 132 II 485 consid. 3.2; 121 I 225 consid. 2a; 119 Ia 139 consid. 2d ; 118 Ib 438 consid. 3; arrêts du Tribunal fédéral 1A.149/2006 et 1A.175/2006 du 27 novembre 2006 consid. 2.1; 1A.247/2000 du 27 novembre 2000 consid. 3a; ZIMMERMANN, La coopération judiciaire internationale en matière pénale, 5e éd. 2019, n° 477, p. 515). Dans le domaine de l'entraide, il s'agit en premier lieu de la demande elle-même et des pièces annexées, puisque c'est sur la base de ces documents que se déterminent l'admissibilité et la mesure de l'entraide requise (TPF 2010 142 consid. 2.1 et les références citées). Dès lors que le droit de consulter le dossier ne s'étend qu'aux pièces décisives ayant conduit à la décision attaquée, la consultation des pièces non pertinentes peut, a contrario, être refusée.</w:t>
      </w:r>
    </w:p>
    <w:p>
      <w:r>
        <w:t>De jurisprudence constante, une fois les mesures d’exécution accomplies, l’autorité d’exécution procède au tri des pièces à remettre à l’autorité étrangère (arrêt du Tribunal pénal fédéral RR.2008.310 du 17 mars 2009 consid. 4.1 et la jurisprudence citée). Elle ne saurait se défausser sur l’État requérant en lui remettant toutes les pièces en vrac et sans examen préalable de leur pertinence dans la procédure étrangère (ATF 130 II 14 consid. 4.4; arrêt du Tribunal fédéral 1A.107/2006 du 10 août 2006 consid. 2.2; arrêt du Tribunal pénal fédéral RR.2013.58-60 du 28 juin 2013 consid. 2.2). Dès lors, après la saisie des documents qu’elle juge utiles pour l’exécution de la demande, l’autorité requise procède à un premier tri et inventorie les pièces qu’elle entend transmettre. Par la suite, elle adresse à l’ayant droit un avis de prochaine clôture tout en lui impartissant un délai suffisant pour qu’il puisse, avant le prononcé de la décision de clôture, exercer son droit d’être entendu en procédant, d’une part, au tri des pièces et, d’autre part, en faisant valoir – pièce par pièce – les arguments en raison desquels il s’oppose à la transmission (arrêt du Tribunal fédéral 1A.228/2006 du 11 décembre 2006 consid. 3.2; arrêt du Tribunal pénal fédéral RR.2016.218-229 du 24 mai 2017 consid. 3.3; LUDWICZAK GLASSEY, Entraide judiciaire internationale en matière pénale, 2018, n° 394 et références citées).</w:t>
      </w:r>
    </w:p>
    <w:p>
      <w:r>
        <w:rPr>
          <w:b/>
        </w:rPr>
        <w:t>E. 2.1.1.2</w:t>
      </w:r>
    </w:p>
    <w:p>
      <w:r>
        <w:t>En l'espèce, c’est à tort que les autorités genevoises retiennent que le droit d’être entendu de la recourante a « été respecté, même si elle n’en a pas fait usage » (RR.2019.172+RR.2019.173, act. 1.11, p. 1). Au contraire, il ressort du dossier, que le MP-GE a levé l’interdiction de communiquer faite aux banques par actes du 10 et 13 mai 2019, que Me de Preux a requis l’accès aux dossiers dès le 16 mai 2019 et que ce dernier ne lui a été communiqué – après divers échanges de courriers – que le 17 juin 2019, soit trois jours</w:t>
      </w:r>
    </w:p>
    <w:p>
      <w:r>
        <w:t>- 10 -</w:t>
      </w:r>
    </w:p>
    <w:p>
      <w:r>
        <w:t>avant les ordonnances de clôture querellées (v. supra let. E, F). Un délai de</w:t>
      </w:r>
    </w:p>
    <w:p>
      <w:r>
        <w:rPr>
          <w:b/>
        </w:rPr>
        <w:t>E. 2.1.1.3</w:t>
      </w:r>
    </w:p>
    <w:p>
      <w:r>
        <w:t>Cela étant, même si une violation du droit d'être entendu est commise par l'autorité d'exécution, la procédure de recours auprès de la Cour de céans permet, en principe, la réparation (arrêts du Tribunal fédéral 1C_703/2017 du 8 janvier 2018 consid. 3; 1C_168/2016 du 22 avril 2016 consid. 1.3.1, 1.3.2; arrêt du Tribunal pénal fédéral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w:t>
      </w:r>
    </w:p>
    <w:p>
      <w:r>
        <w:t>In casu, il y a lieu de considérer que les vices constatés ont été réparés, la Cour de céans disposant du même pouvoir d'examen que l'autorité précédente (v. supra, consid. 2.1.1.1, 2.1.1.2; TPF 2008 172 consid. 2.3; 2007 57 consid. 3.2; ZIMMERMANN, op. cit., n° 486 et références citées) et la recourante ayant pu faire valoir ses arguments lors de la présente procédure de recours. Il sera toutefois tenu compte des manquements de l’autorité inférieure lors du calcul de l’émolument judiciaire (TPF 2008 172 consid. 6).</w:t>
      </w:r>
    </w:p>
    <w:p>
      <w:r>
        <w:rPr>
          <w:b/>
        </w:rPr>
        <w:t>E. 2.1.2</w:t>
      </w:r>
    </w:p>
    <w:p>
      <w:r>
        <w:t>La recourante considère également que les décisions de clôture querellées ne sont pas suffisamment motivées, notamment, sous l’angle du respect du principe de la proportionnalité et du principe de la double incrimination (RR.2019.172+RR.2019.173, act. 1, p. 8).</w:t>
      </w:r>
    </w:p>
    <w:p>
      <w:r>
        <w:t>- 11 -</w:t>
      </w:r>
    </w:p>
    <w:p>
      <w:r>
        <w:rPr>
          <w:b/>
        </w:rPr>
        <w:t>E. 2.1.2.1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141 V 557 consid. 3.2.1; 134 I 83 consid. 4.1; 125 II 369 consid. 2c; 124 II 146 consid. 2a; 112 Ia 107 consid. 2b; arrêt du Tribunal fédéral 1C_660/2019 du 6 janvier 2020 consid. 3.1; arrêt du Tribunal pénal fédéral RR.2017.42-43-44-45-46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2.1.2.2</w:t>
      </w:r>
    </w:p>
    <w:p>
      <w:r>
        <w:t>S’agissant du respect du principe de la proportionnalité, les décisions entreprises retiennent que l’autorité requérante sollicite la transmission de la documentation bancaire des relations qu’elle a identifiés dans sa propre enquête et qu’il se justifie de la lui transmettre, car elle est propre à lui permettre de poursuivre ses investigations en lien avec les mouvements de trésorerie sous enquête (RR.2019.172+RR.2019.173, act. 15). La motivation des ordonnances querellées est certes pour le moins sommaire, mais elle repose sur un renvoi indirect à une ordonnance d’entrée en matière qui retient, entre autres, que la demande remplit les conditions formelles et matérielles requises (art. 2, 3 et 14 CEEJ; art. 2 ss, 28 et 75 EIMP), que la Suisse et la France s’accordent l’entraide judiciaire la plus large possible (art. 1 CEEJ; art. 7 CBI), que la demande peut être interprétée largement lorsque les conditions de l’octroi de l’entraide sont remplies pour ainsi éviter des demandes complémentaires et que ce n’est pas à l’autorité helvétique</w:t>
      </w:r>
    </w:p>
    <w:p>
      <w:r>
        <w:t>- 12 -</w:t>
      </w:r>
    </w:p>
    <w:p>
      <w:r>
        <w:t>d’apprécier l’utilité des actes requis par l’autorité étrangère, la coopération n’étant refusé que dès le moment où la demande d’entraide et manifestement sans rapport avec l’infraction poursuivie et impropre à faire progresser l’enquête de sorte qu’elle s’apparente à une recherche indéterminée de preuves.</w:t>
      </w:r>
    </w:p>
    <w:p>
      <w:r>
        <w:t>En ce qui concerne la condition de la double incrimination, même si les décisions querellées sont muettes quant à la qualification en droit suisse des faits mentionnés dans la demande française, le renvoi indirect à la décision d’entrée en matière du 4 mars 2019 permet de conclure que le MP-GE a analysé la condition de la double incrimination – abstraite – puisqu’il est expressément mentionné que, transposés en droit suisse, les faits à la base de la requête d’assistance judiciaire peuvent être qualifiés, notamment, de gestion déloyale (art. 158 du Code pénal suisse du 21 décembre 1937 [CP; RS 311.0]), de corruption d’agents publics étrangers (art. 322septies CP) et de blanchiment d’argent (art. 305bis CP; RR.2019.172+ RR.2019.173, act. 1.3, p. 2).</w:t>
      </w:r>
    </w:p>
    <w:p>
      <w:r>
        <w:rPr>
          <w:b/>
        </w:rPr>
        <w:t>E. 2.1.2.3</w:t>
      </w:r>
    </w:p>
    <w:p>
      <w:r>
        <w:t>Des éléments qui précèdent il s’ensuit que la motivation des autorités genevoises est certes sommaire, mais suffisante. Elle satisfait dès lors les exigences rappelées plus haut (v. supra consid. 2.1.2.1) puisqu’elle permet à la recourante, assistée d’un mandataire professionnel, d’apprécier correctement la portée des décisions et de les attaquer à bon escient. Le grief tiré de la violation du droit d’être entendu, sous l’angle de l’obligation de motiver s’avère ainsi mal fondé.</w:t>
      </w:r>
    </w:p>
    <w:p>
      <w:r>
        <w:rPr>
          <w:b/>
        </w:rPr>
        <w:t>E. 3</w:t>
      </w:r>
    </w:p>
    <w:p>
      <w:r>
        <w:t>Sur le fond, la recourante se plaint, dans un premier grief, d’une violation du principe de proportionnalité, et ce sous trois angles. D’abord, la coopération internationale devrait être refusée puisque l’autorité requérante ne procède qu’à une recherche indéterminée de moyens de preuve (« fishing expedition »). Ensuite, la remise de la documentation bancaire la concernant irait au-delà de ce qui a été requis. Enfin, les pièces dont la transmission est envisagée n’auraient aucun rapport avec l’enquête menée par les autorités françaises (RR.2019.172, act. 1, p. 9, 10; RR.2019.173, act. 1, p. 8, 9).</w:t>
      </w:r>
    </w:p>
    <w:p>
      <w:r>
        <w:rPr>
          <w:b/>
        </w:rPr>
        <w:t>E. 3.1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en outre à l'autorité suisse d'aller au-delà des</w:t>
      </w:r>
    </w:p>
    <w:p>
      <w:r>
        <w:t>- 13 -</w:t>
      </w:r>
    </w:p>
    <w:p>
      <w:r>
        <w:t>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aussi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l'État requérant (arrêts du Tribunal pénal fédéral RR.2015.314 du 24 février 2016 consid. 2.2; RR.2010.173 du 13 octobre 2010 consid. 4.2.4/a; RR.2009.320 du 2 février 2010 consid. 4.1; ZIMMERMANN, op. cit., n° 723, p. 798 ss).</w:t>
      </w:r>
    </w:p>
    <w:p>
      <w:r>
        <w:t>- 14 -</w:t>
      </w:r>
    </w:p>
    <w:p>
      <w:r>
        <w:rPr>
          <w:b/>
        </w:rPr>
        <w:t>E. 3.2</w:t>
      </w:r>
    </w:p>
    <w:p>
      <w:r>
        <w:t>L’octroi de l’entraide n’implique pas que la personne soumise à une mesure de contrainte dans l’État requis soit elle-même accusée dans l’État requérant puisque,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w:t>
      </w:r>
    </w:p>
    <w:p>
      <w:r>
        <w:t>S'agissant plus particulièrement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Enfin,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références citées).</w:t>
      </w:r>
    </w:p>
    <w:p>
      <w:r>
        <w:rPr>
          <w:b/>
        </w:rPr>
        <w:t>E. 3.3</w:t>
      </w:r>
    </w:p>
    <w:p>
      <w:r>
        <w:t>En l’occurrence, vu le complexe de faits, le nombre de personnes et de sociétés potentiellement impliquées et le fait que l’autorité requérante requiert expressément la communication d’informations concernant les activités connues de A. SA en Suisse et si elle est « en relation financière avec des suisses, des résidents suisses et/ou des étrangers ayant une activité en Suisse » (RR.2019.172+RR.2019.173, act. 1.2, p. 5, 6), c’est à tort que la recourante considère que l’autorité requérante procède à de la recherche indéterminée de moyens de preuve, que la remise de la documentation ordonnée par le MP-GE va au-delà de ce qui est demandé par l’État requérant et que les informations bancaires la concernant n’ont aucun lien avec l’enquête française. Lors de la transmission de documents bancaires comme moyens de preuve, l’autorité d’exécution se doit de</w:t>
      </w:r>
    </w:p>
    <w:p>
      <w:r>
        <w:t>- 15 -</w:t>
      </w:r>
    </w:p>
    <w:p>
      <w:r>
        <w:t>communiquer tous les renseignements concernant, de près ou de loin, l’infraction sous enquête (supra consid. 5.1 et 5.2). C’est le cas, lorsque les informations à disposition de l’autorité helvétique sont propres à éclairer l’enquête étrangère étant relevée que, le simple fait que selon les informations transmises par la banque H., A. SA a été « titulaire d’un mandat/pouvoir d’un tiers » concernant deux sociétés (I. et J.) qui, selon la requête d’assistance judiciaire, ont reçu des virements du groupe D. SA – dont certaines des sociétés étaient dirigées par B. – est déjà de nature à faire progresser l'enquête étrangère (RR.2019.172+RR.2019.173, act. 1.2, p. 5; dossier MP-GE CP/493/2018). Partant, il existe un lien de connexité suffisant qui justifie de transmettre les informations bancaires concernant la recourante aux autorités françaises, ces informations étant susceptibles d'éclairer l'enquête qu’elles mènent. Enfin, et par surabondance, il convient de relever que la transmission d’informations dans le domaine de l’entraide internationale, n’a pas pour seul objectif d’aider l’État requérant à prouver les faits qu’il a déjà découverts, mais également d’en dévoiler, s’ils existent, des nouveaux faits, informations ou moyens de preuve, que ce soit à charge ou à décharge (v. supra consid. 3.1). Dans ces circonstances, c'est à juste titre que l'autorité d'exécution, en application du principe de l'utilité potentielle rappelé ci-avant, a décidé de transmettre la documentation bancaire de A. SA auprès de la banque G. (relation bancaire n° 3) et de la banque H. (relation bancaire n° 1) aux autorités françaises.</w:t>
      </w:r>
    </w:p>
    <w:p>
      <w:r>
        <w:rPr>
          <w:b/>
        </w:rPr>
        <w:t>E. 3.4</w:t>
      </w:r>
    </w:p>
    <w:p>
      <w:r>
        <w:t>Il s’ensuit que le grief tiré de la violation du principe de proportionnalité doit être rejeté.</w:t>
      </w:r>
    </w:p>
    <w:p>
      <w:r>
        <w:rPr>
          <w:b/>
        </w:rPr>
        <w:t>E. 4</w:t>
      </w:r>
    </w:p>
    <w:p>
      <w:r>
        <w:t>Dans un second grief, la recourante se plaint d’une violation du principe de double incrimination. Elle considère que les conditions jurisprudentielles pour octroyer l’entraide internationale lorsque celle-ci est requise pour des infractions de blanchiment d’argent (art. 305bis CP), n’est pas remplie. Quant à l’entraide internationale concernant l’infraction de manquement aux obligations déclaratives prévue à l’art. 152-4 du Code monétaire et financier français, elle ne serait, in casu, pas envisageable (RR.2019.172, p. 10 à 12; RR.2019.173, act. 1, p. 9 à 11).</w:t>
      </w:r>
    </w:p>
    <w:p>
      <w:r>
        <w:rPr>
          <w:b/>
        </w:rPr>
        <w:t>E. 4.1</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cum art. 5 ch. 1 let. a CEEJ; ATF 124 II 184 consid. 4b; 122 II 422 consid. 2a; 118 Ib 448 consid. 3a; 117 Ib 337 consid. 4a). Lorsqu’une autorité suisse est</w:t>
      </w:r>
    </w:p>
    <w:p>
      <w:r>
        <w:t>- 16 -</w:t>
      </w:r>
    </w:p>
    <w:p>
      <w:r>
        <w:t>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126 II 495 consid. 5e/aa; 118 Ib 111 consid. 5b; 107 Ib 264 consid. 3a; arrêt du Tribunal pénal fédéral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précité consid. 3.2 et référence citée).</w:t>
      </w:r>
    </w:p>
    <w:p>
      <w:r>
        <w:rPr>
          <w:b/>
        </w:rPr>
        <w:t>E. 4.2</w:t>
      </w:r>
    </w:p>
    <w:p>
      <w:r>
        <w:t>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arrêts cités; arrêt du Tribunal fédéral 1A.205/2006 du 7 décembre 2006 consid. 3.1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 La condition de la double incrimination s'examine selon le droit en vigueur dans l'État requis au moment où est prise la décision relative à la coopération, et non selon celui en vigueur au moment de la commission de l'éventuelle infraction ou à la date de la commission rogatoire (ATF 129 II 462 consid. 4.3; 122 II 422 consid. 2a; 112 Ib 576</w:t>
      </w:r>
    </w:p>
    <w:p>
      <w:r>
        <w:t>- 17 -</w:t>
      </w:r>
    </w:p>
    <w:p>
      <w:r>
        <w:t>consid. 2; arrêt du Tribunal fédéral 1A.96/2003 du 25 juin 2003 consid. 2.2; arrêts du Tribunal pénal fédéral RR.2012.262-263 du 28 juin 2013 consid. 2.1; RR.2011.246 du 30 novembre 2011 consid. 3.2; RR.2007.178 du 29 novembre 2007 consid. 4.3; v. ég. ZIMMERMANN, op. cit., n° 581, p. 622 s.).</w:t>
      </w:r>
    </w:p>
    <w:p>
      <w:r>
        <w:rPr>
          <w:b/>
        </w:rPr>
        <w:t>E. 4.3</w:t>
      </w:r>
    </w:p>
    <w:p>
      <w:r>
        <w:t>En l’espèce, le MP-GE a considéré que les faits incriminés dans la demande d’entraide peuvent être qualifiés, notamment, de gestion déloyale (art. 158 CP), de corruption d’agents publics étrangers (art. 322septies CP) et de blanchiment d’argent (art. 305bis CP; RR.2019.172+RR.2019.173, act. 1.3, p. 2).</w:t>
      </w:r>
    </w:p>
    <w:p>
      <w:r>
        <w:rPr>
          <w:b/>
        </w:rPr>
        <w:t>E. 4.3.1</w:t>
      </w:r>
    </w:p>
    <w:p>
      <w:r>
        <w:t>Selon l’art. art. 322septies CP se rend coupable de corruption active d’agents publics étrangers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(al. 1). Le bien juridique protégé est l’impartialité du processus décisionnel des activités étatiques étrangères et les droits de l’homme (PERRIN, Commentaire romand, Code pénal [ci-après: Commentaire romand], 2017, n° 7 ad art. 322septies CP; DUPUIS et al., Petit Commentaire, Code pénal, 2e éd. 2017, n° 9 ad Rem. prél. aux art. 322ter à 322septies CP, n° 2 ad art. 322septies CP). Il s’agit d’une infraction formelle de mise en danger abstraite qui ne requiert pas un résultat au sens technique (il suffit que le corrupteur offre, promette ou octroie l’avantage indu au corrompu) car le comportement de l’auteur est présumé dangereux. Il s’agit d’une infraction instantanée, l’atteinte étant consommée par l’offre, la promesse ou l’octroi de l’avantage (PERRIN, op. cit., n° 8 à 10 ad art. 322septies CP). En outre, la corruption active est un crime qui entre en ligne de compte comme infraction préalable au blanchiment d’argent (DUPUIS et al., op. cit., n° 4 ad art. 322septies CP et les références citées).</w:t>
      </w:r>
    </w:p>
    <w:p>
      <w:r>
        <w:t>Les éléments constitutifs objectifs de l’infraction susmentionnée sont: un auteur – le corrupteur – qui peut être toute personne physique ou une entreprise; un agent public étranger – le corrompu –, notion autonome qui englobe toute personne accomplissant une tâche dévolue à l’État ou à une organisation internationale que ce soit comme agent public formel (personne qui détient, notamment, un mandat législatif, administratif ou judiciaire) ou matériel (personne qui exerce une fonction publique pour un État étranger ou une organisation internationale y compris les personnes qui forment partie</w:t>
      </w:r>
    </w:p>
    <w:p>
      <w:r>
        <w:t>- 18 -</w:t>
      </w:r>
    </w:p>
    <w:p>
      <w:r>
        <w:t>des organes des entreprises contrôlées et surveillées par l’État); un comportement typique, c’est-à-dire, offrir, promettre ou octroyer un avantage indu au corrompu; une contreprestation de l’agent public qui peut consister à l’exécution ou à l’omission d’un acte en lien avec son activité officielle, contraire à ses devoirs ou dépendant de son pouvoir d’appréciation; et, une relation de connexité entre l’avantage indu et le comportement de l’agent public étranger (PERRIN, op. cit., n° 11, 12, 17 à 19, 25 et renvoi, 33, 34, 36 ad art. 322septies CP; DUPUIS et al., op. cit., n° 5, 6 ad art. 322ter CP, n° 7, 9 ad art. 322septies CP et les références citées; PIETH, Basler Kommentar, 4e éd. 2019, n° 8, 11, 13, 15 ad art. 322septies CP; v. Message du Conseil fédéral du 19 avril 1999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FF 1999 5045, 5078-5080 [ci-après: Message CP- Corruption]). Subjectivement, la corruption d’agents publics étrangers est une infraction intentionnelle, le dol éventuel étant suffisant. Il s’agit en outre d’une infraction de dessein puisqu’il existe une phase d’achèvement entre la consommation de l’acte sous la forme d’une offre, une promesse ou l’octroi d’un avantage et l’exécution ou omission de l’acte par l’agent public étranger (PERRIN, op. cit., n° 38, 39 ad art. 322septies CP; PIETH, op. cit., n° 49 ad art. 322ter, n° 23 ad art. 322septies CP).</w:t>
      </w:r>
    </w:p>
    <w:p>
      <w:r>
        <w:t>En ce qui concerne plus particulièrement le moyen de la corruption, à savoir, l’avantage indu, il peut être matériel ou immatériel. Il est matériel, par exemple, lorsqu’il s’agit du versement d’une somme d’argent, de libéralités relatives à des objets de valeur ou à la fourniture de prestations ou de services. Il est immatériel, entre autres, lorsqu’il est question d’un avantage sur le plan professionnel, social ou d’un soutien lors d’élections. L’avantage est ainsi « [t]oute amélioration objectivement mesurable – juridique, économique ou personnelle – de la situation du bénéficiaire » (Message CP- Corruption, p. 5075). Enfin, l’avantage est indu lorsque l’agent public qui devrait en bénéficier n’a pas le droit de l’accepter et ne peut faire valoir aucune prétention à recevoir un tel avantage (v. PERRIN, op. cit., n° 28 et renvoi, 29 ad art. 322septies CP et références citées; DUPUIS et al., op. cit., n° 25, 26, 28 ad Rem. prél. aux art. 322ter à 322septies CP; PIETH, op. cit., n° 18 ad art. 322septies CP; Message CP-Corruption, p. 5076).</w:t>
      </w:r>
    </w:p>
    <w:p>
      <w:r>
        <w:rPr>
          <w:b/>
        </w:rPr>
        <w:t>E. 4.3.2</w:t>
      </w:r>
    </w:p>
    <w:p>
      <w:r>
        <w:t>En l’occurrence, il ressort de la commission rogatoire du Parquet National financier que lors de l’enquête concernant des soupçons de violation des obligations de déclaration résultat du code monétaire et financier dirigé à l’encontre de B. et C. des écoutes téléphoniques ont eu lieu. Certains des éléments obtenus lors de ces écoutes laissaient soupçonner, d’une part, que</w:t>
      </w:r>
    </w:p>
    <w:p>
      <w:r>
        <w:t>- 19 -</w:t>
      </w:r>
    </w:p>
    <w:p>
      <w:r>
        <w:t>B. (et des tiers) détenait à son domicile d’importantes sommes d’argent ainsi que des objets de valeur directement issus des opérations délictueuses précitées (v. supra let. A) et, d’autre part, que ces sommes étaient utilisées à des fins de corruption. Lors des diverses perquisitions ont été saisis, entre autres, de l’argent, des objets de luxe (montres, bijoux et articles de maroquinerie) et des documents en lien avec l’enquête et plus particulièrement avec le groupe D. SA (dont certaines sociétés qui composent le groupe seraient en relations commerciales avec E.). Enfin, les investigations ont également mis en évidence que B. aurait procédé à l’acquisition de nombreuses paires de chaussures de luxe destinées à des personnalités politiques voire des acteurs économiques de premier plan en RDC et dans d’autres pays africains; ces personnalités étant liées aux activités du prénommé et donc susceptibles d’être parties prenantes aux faits de corruption sous enquête (RR.2019.172+ RR.2019.173, act. 1.2, p. 4, 5). Transposés en droit suisse, les faits décrits ci-dessus tomberaient prima facie sous le coup de l’art. 322septies CP. En effet, est punissable celui qui – directement ou par le biais d’intermédiaires – offre, promet ou octroie un avantage indu à un agent public (PERRIN, op. cit., n° 27 ad art. 322septies CP), étant relevé que le bénéficiaire de l’avantage peut ne pas être l’agent public lui-même, mais une tierce personne (v. DUPUIS et al., op. cit., n° 29 ad Rem. prél. aux art. 322ter à 322septies CP). Quant au lien de connexité entre l’avantage indu et le comportement de l’agent public étranger, il existe prima facie puisque la commission rogatoire mentionne brièvement, que les investigations ont permis d’établir que les personnalités politiques et économiques auxquelles étaient destinées les objets saisis étaient liés aux activités de B.; étant relevé, par surabondance, que la jurisprudence helvétique considère que l’influence du corrupteur ne doit pas nécessairement tendre à amener le fonctionnaire à effectuer un acte déterminé puisqu’il suffit que l’intention porte sur le fait de déterminer l’intraneus, dans l’exercice ultérieur de ses fonctions, à favoriser de manière générale l’extraneus (v. ATF 126 IV 141 consid. 2a; QUELOZ/MUNYANKINDI, Commentaire romand, n° 56 ad art. 322ter CP).</w:t>
      </w:r>
    </w:p>
    <w:p>
      <w:r>
        <w:rPr>
          <w:b/>
        </w:rPr>
        <w:t>E. 4.4</w:t>
      </w:r>
    </w:p>
    <w:p>
      <w:r>
        <w:t>Il s’ensuit que les faits tels que présentés dans la requête sont, prima facie, constitutifs de corruption d’agents publics étrangers (322septies CP). Bien qu’en vertu de la jurisprudence précitée (supra consid. 4.2), aux fins de la double punissabilité, il suffit que les faits décrits dans la demande soient punissables sous l'angle d'une seule disposition pénale, le cas d'espèce, abstraitement transposé en droit suisse, pourrait, par surabondance, également réaliser les éléments constitutifs du blanchiment d’argent (art. 305bis CP).</w:t>
      </w:r>
    </w:p>
    <w:p>
      <w:r>
        <w:rPr>
          <w:b/>
        </w:rPr>
        <w:t>E. 4.4.1</w:t>
      </w:r>
    </w:p>
    <w:p>
      <w:r>
        <w:t>Aux termes de l'art. 305bis ch. 1 CP, celui qui aura commis un acte propre à</w:t>
      </w:r>
    </w:p>
    <w:p>
      <w:r>
        <w:t>- 20 -</w:t>
      </w:r>
    </w:p>
    <w:p>
      <w:r>
        <w:t>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blanchiment d'argent est une infraction de mise en danger abstraite (ATF 136 IV 188 consid. 6.1; DUPUIS et al., op. cit., n° 6 ad art. 305bis CP et références citées) et le bien juridique protégé est l’administration de la justice pénale en Suisse ou à l’étranger (CASSANI, Commentaire romand, n° 10 ad art. 305bis CP; DUPUIS et al., op. cit., n° 3, 5 ad art. 305bis CP). Le comportement délictueux consiste à entraver l'accès de l'autorité pénale au butin d'un crime, en rendant plus difficile l'établissement du lien de provenance entre la valeur patrimoniale (au sens large)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(ATF 136 IV 188 consid. 6.1 et les références citées; v. ATF 144 IV 172 consid. 7.2.2 p. 174). Quant aux manœuvres visant à dissimuler le lien de provenance ou l’appartenance réelle des biens, elles peuvent être accomplies, entre autres, en transférant de l’argent à l’étranger par un virement bancaire ou par le transport physique d’espèces (CASSANI, Commentaire romand, n° 35 ad art. 305bis CP).</w:t>
      </w:r>
    </w:p>
    <w:p>
      <w:r>
        <w:rPr>
          <w:b/>
        </w:rPr>
        <w:t>E. 4.4.2</w:t>
      </w:r>
    </w:p>
    <w:p>
      <w:r>
        <w:t>Lorsque l'autorité étrangère adresse une requête d'entraide aux fins d'appuyer 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(v. arrêts du Tribunal fédéral 1A.231/2003 du 6 février 2004, consid. 5.3; 1A.5/2004 consid. 5.2.1; arrêts du Tribunal pénal fédéral RR.2017.99; RR.2017.65/RP.2017.22 du 1er décembre 2017 consid. 4.2; TPF 2011 194 consid. 2.1 in fine; v. ég. ZIMMERMANN, op. cit., n° 602). La Suisse doit ainsi pouvoir accorder sa collaboration lorsque le soupçon de blanchiment est uniquement fondé sur l'existence de transactions suspectes, des exemples typiques étant ceux de transactions dénuées de justification apparente ou en utilisant de nombreuses sociétés réparties dans plusieurs pays (arrêt du Tribunal pénal fédéral RR.2008.69-72 du 14 août 2008 consid. 3.3 et références citées). L'importance des sommes mises en cause lors des transactions suspectes constitue également un motif de soupçon de blanchiment. Cette interprétation correspond à la notion d'entraide « la plus large possible » dont il est question aux art. 1 CEEJ, art. 7 ch. 1 et 8 CBI (ATF 129 II 97 consid. 3.2).</w:t>
      </w:r>
    </w:p>
    <w:p>
      <w:r>
        <w:rPr>
          <w:b/>
        </w:rPr>
        <w:t>E. 4.4.3</w:t>
      </w:r>
    </w:p>
    <w:p>
      <w:r>
        <w:t>En l’occurrence, il ressort de la requête d’assistance que des contrôles</w:t>
      </w:r>
    </w:p>
    <w:p>
      <w:r>
        <w:t>- 21 -</w:t>
      </w:r>
    </w:p>
    <w:p>
      <w:r>
        <w:t>aéroportuaires en France ont permis de mettre en évidence que B. et C. se déplaçaient avec d’importantes sommes d’argent en espèces. Selon B. l’argent ainsi transporté était destiné au paiement de ses salariés. L’analyse des comptes monégasques de D. SA, K. et du compte personnel de B. ont permis de déceler divers manquements aux obligations déclaratives. L’examen desdits comptes a d’ailleurs montré plusieurs mouvements suspects mettant en lumière une confusion entre le patrimoine privé et professionnel de B. Quant aux écoutes téléphoniques, elles ont permis de révéler que des sociétés faisant partie du groupe D. SA avaient des relations commerciales avec E. et que B. avait procédé à des montages juridiques et financiers à l’aide de sociétés établies dans des paradis fiscaux et manifestement conçus dans le but exclusif d’évasion de capitaux et de blanchiment d’argent. Au vu de toutes ces circonstances, il est légitime que les autorités requérantes poursuivent l’hypothèse d’enquête selon laquelle ces sommes d’argent soient liées à des détournements des revenus de l’exploitation et du commerce du pétrole de la RDC (RR.2019.172+ RR.2019.173, act. 1.2, p. 3, 4). Il s’ensuit que les autorités françaises font état d’importants soupçons quant à des éventuels actes de blanchiment d’argent en lien, entre autres, avec le détournement des revenus liés à l’exploitation et commerce du pétrole congolais. Selon la jurisprudence susmentionnée (supra consid. 4.4.2), ces soupçons, considérés objectivement, suffissent à l’octroi de l’entraide sous l’angle de la double incrimination. La condition de la double incrimination est donc également remplie, prima facie, s’agissant du blanchiment d’argent (art. 305bis CP).</w:t>
      </w:r>
    </w:p>
    <w:p>
      <w:r>
        <w:rPr>
          <w:b/>
        </w:rPr>
        <w:t>E. 4.5</w:t>
      </w:r>
    </w:p>
    <w:p>
      <w:r>
        <w:t>Au vu de l’ensemble d’éléments qui précèdent, le grief selon lequel le principe de la double incrimination ne serait pas respecté est infondé et doit être rejeté.</w:t>
      </w:r>
    </w:p>
    <w:p>
      <w:r>
        <w:rPr>
          <w:b/>
        </w:rPr>
        <w:t>E. 5</w:t>
      </w:r>
    </w:p>
    <w:p>
      <w:r>
        <w:t>Au vu des considérations qui précèdent, le recours est rejeté.</w:t>
      </w:r>
    </w:p>
    <w:p>
      <w:r>
        <w:rPr>
          <w:b/>
        </w:rPr>
        <w:t>E. 6</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et art. 63 al. 5 PA). Dans la mesure où la recourante a succombé, elle supportera les frais du présent arrêt, réduits du</w:t>
      </w:r>
    </w:p>
    <w:p>
      <w:r>
        <w:t>- 22 -</w:t>
      </w:r>
    </w:p>
    <w:p>
      <w:r>
        <w:t>fait de la jonction des causes et de la violation, par l’autorité inférieure, de son droit d’être entendue. A cet égard, si la violation ici constatée a pu être réparée dans le cadre de la procédure de recours, elle n'en demeure pas moins avérée (v. supra consid. 2). L'attention de l'autorité d'exécution est attirée sur la jurisprudence de la Cour de céans selon laquelle la violation du droit d'être entendu peut, même en cas de rejet du recours sur le fond, exceptionnellement justifier l'allocation d'une indemnité, au sens de l'art. 64 al. 1 PA, à la partie qui en est victime (TPF 2008 172 consid. 7.2 in fine). S'il n'y a pas encore lieu de considérer que le procédé de l'autorité d'exécution est constitutif d'un abus de droit au sens des art. 9 Cst. (TPF 2008 précité, ibidem), il s'en approche et pourrait, à l'avenir, conduire la Cour des plaintes à condamner l'autorité d'exécution au versement d'une indemnité. Il sied également de rappeler ici que, en cas de violation systématique du droit d'être entendu par une autorité, la conséquence peut en être l'admission du recours (v. ATF 126 II 111 consid. 6b). Cela étant précisé, la recourante supportera, in casu, les frais réduits du présent arrêt, fixés à CHF 2000.--. La recourante ayant versé un total de CHF 8'000.-- à titre d’avance de frais, l’émolument du présent arrêt est couvert par celles-ci et la caisse du Tribunal pénal fédéral restituera à son conseil le solde par CHF 6000.--.</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